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0BC07EFB" w:rsidR="00535EFB" w:rsidRDefault="003A1FA2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27CFEEDE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1B10A3">
        <w:rPr>
          <w:rFonts w:ascii="Ping LCG Regular" w:hAnsi="Ping LCG Regular" w:cs="Tahoma"/>
          <w:b/>
          <w:sz w:val="20"/>
          <w:lang w:val="el-GR"/>
        </w:rPr>
        <w:t>5</w:t>
      </w:r>
      <w:r w:rsidR="00C53232" w:rsidRPr="00C53232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1B10A3">
        <w:rPr>
          <w:rFonts w:ascii="Ping LCG Regular" w:hAnsi="Ping LCG Regular" w:cs="Tahoma"/>
          <w:b/>
          <w:sz w:val="20"/>
          <w:lang w:val="el-GR"/>
        </w:rPr>
        <w:t>Μαΐου</w:t>
      </w:r>
      <w:r w:rsidR="00197DB6">
        <w:rPr>
          <w:rFonts w:ascii="Ping LCG Regular" w:hAnsi="Ping LCG Regular" w:cs="Tahoma"/>
          <w:b/>
          <w:sz w:val="20"/>
          <w:lang w:val="el-GR"/>
        </w:rPr>
        <w:t xml:space="preserve"> 2022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ή σε οποιαδήποτε επαναληπτική, μετά διακοπή ή αναβολή 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01D1A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01D1A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01D1A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01D1A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D01D1A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474E0E">
              <w:rPr>
                <w:rFonts w:ascii="Ping LCG Regular" w:hAnsi="Ping LCG Regular" w:cs="Tahoma"/>
                <w:szCs w:val="18"/>
              </w:rPr>
            </w:r>
            <w:r w:rsidR="00474E0E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474E0E">
                    <w:rPr>
                      <w:rFonts w:ascii="Ping LCG Regular" w:hAnsi="Ping LCG Regular"/>
                      <w:szCs w:val="18"/>
                    </w:rPr>
                  </w:r>
                  <w:r w:rsidR="00474E0E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01D1A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1913E6D3" w14:textId="77777777" w:rsidR="0087631C" w:rsidRDefault="0087631C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2E677456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στον αντιπρόσωπο που θα ορίσετε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του/της</w:t>
            </w:r>
          </w:p>
        </w:tc>
      </w:tr>
    </w:tbl>
    <w:p w14:paraId="13EE1B62" w14:textId="6AECCDC3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1B10A3" w:rsidRPr="001B10A3">
        <w:rPr>
          <w:rFonts w:ascii="Ping LCG Regular" w:hAnsi="Ping LCG Regular" w:cs="Tahoma"/>
          <w:b/>
          <w:bCs/>
          <w:szCs w:val="18"/>
          <w:lang w:val="el-GR"/>
        </w:rPr>
        <w:t>5</w:t>
      </w:r>
      <w:r w:rsidR="001B10A3">
        <w:rPr>
          <w:rFonts w:ascii="Ping LCG Regular" w:hAnsi="Ping LCG Regular" w:cs="Tahoma"/>
          <w:b/>
          <w:bCs/>
          <w:szCs w:val="18"/>
          <w:vertAlign w:val="superscript"/>
          <w:lang w:val="el-GR"/>
        </w:rPr>
        <w:t xml:space="preserve"> </w:t>
      </w:r>
      <w:r w:rsidR="001B10A3" w:rsidRPr="001B10A3">
        <w:rPr>
          <w:rFonts w:ascii="Ping LCG Regular" w:hAnsi="Ping LCG Regular" w:cs="Tahoma"/>
          <w:b/>
          <w:bCs/>
          <w:szCs w:val="18"/>
          <w:lang w:val="el-GR"/>
        </w:rPr>
        <w:t>Μαΐου</w:t>
      </w:r>
      <w:r w:rsidRPr="006041FB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6041FB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6041FB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B42C73" w:rsidRPr="006041FB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Pr="00535EFB">
        <w:rPr>
          <w:rFonts w:ascii="Ping LCG Regular" w:hAnsi="Ping LCG Regular" w:cs="Tahoma"/>
          <w:szCs w:val="18"/>
          <w:lang w:val="el-GR"/>
        </w:rPr>
        <w:t xml:space="preserve"> στην Αθήνα,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B42C73">
        <w:rPr>
          <w:rFonts w:ascii="Ping LCG Regular" w:hAnsi="Ping LCG Regular" w:cs="Tahoma"/>
          <w:szCs w:val="18"/>
          <w:lang w:val="el-GR"/>
        </w:rPr>
        <w:t>αίθουσα «</w:t>
      </w:r>
      <w:r w:rsidR="00441D2E" w:rsidRPr="00B42C73">
        <w:rPr>
          <w:rFonts w:ascii="Ping LCG Regular" w:hAnsi="Ping LCG Regular" w:cs="Tahoma"/>
          <w:szCs w:val="18"/>
          <w:lang w:val="el-GR"/>
        </w:rPr>
        <w:t>Δ.Σ.</w:t>
      </w:r>
      <w:r w:rsidRPr="00B42C73">
        <w:rPr>
          <w:rFonts w:ascii="Ping LCG Regular" w:hAnsi="Ping LCG Regular" w:cs="Tahoma"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>επί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451337E3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0D53DEC7" w14:textId="65962D91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D5EF322" w14:textId="4EA248ED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77777777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D7C830B" w14:textId="77777777" w:rsidR="00954AB6" w:rsidRDefault="00954AB6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77777777" w:rsidR="00924205" w:rsidRPr="00535EFB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1" w:name="_Hlk88818540"/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B506E7" w:rsidRPr="008132B9" w14:paraId="7C7CB1E3" w14:textId="77777777" w:rsidTr="0049619D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bookmarkEnd w:id="1"/>
          <w:p w14:paraId="23D02B75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41FEA45" w14:textId="77777777" w:rsidR="00B506E7" w:rsidRPr="008132B9" w:rsidRDefault="00B506E7" w:rsidP="00F41C23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76B0679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E42CA5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F9183DE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04695B" w:rsidRPr="00197DB6" w14:paraId="06C4F8C8" w14:textId="77777777" w:rsidTr="00F57E07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DF9A749" w14:textId="77777777" w:rsid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56C1544A" w14:textId="66EEED03" w:rsidR="0004695B" w:rsidRPr="00157614" w:rsidRDefault="0004695B" w:rsidP="0004695B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CBB31BE" w14:textId="77777777" w:rsidR="0004695B" w:rsidRDefault="001B10A3" w:rsidP="0004695B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1B10A3">
              <w:rPr>
                <w:rFonts w:ascii="Ping LCG Regular" w:hAnsi="Ping LCG Regular"/>
                <w:lang w:val="el-GR" w:eastAsia="el-GR"/>
              </w:rPr>
              <w:t>Εκλογή Μέλους της Επιτροπής Ελέγχου της Εταιρείας</w:t>
            </w:r>
            <w:r w:rsidR="00186BEC" w:rsidRPr="00186BEC">
              <w:rPr>
                <w:rFonts w:ascii="Ping LCG Regular" w:hAnsi="Ping LCG Regular"/>
                <w:lang w:val="el-GR" w:eastAsia="el-GR"/>
              </w:rPr>
              <w:t xml:space="preserve">, </w:t>
            </w:r>
            <w:r w:rsidRPr="001B10A3">
              <w:rPr>
                <w:rFonts w:ascii="Ping LCG Regular" w:hAnsi="Ping LCG Regular"/>
                <w:lang w:val="el-GR" w:eastAsia="el-GR"/>
              </w:rPr>
              <w:t xml:space="preserve"> σ</w:t>
            </w:r>
            <w:r>
              <w:rPr>
                <w:rFonts w:ascii="Ping LCG Regular" w:hAnsi="Ping LCG Regular"/>
                <w:lang w:val="el-GR" w:eastAsia="el-GR"/>
              </w:rPr>
              <w:t>ύμφωνα με το</w:t>
            </w:r>
            <w:r w:rsidR="00186BEC">
              <w:rPr>
                <w:rFonts w:ascii="Ping LCG Regular" w:hAnsi="Ping LCG Regular"/>
                <w:lang w:val="el-GR" w:eastAsia="el-GR"/>
              </w:rPr>
              <w:t>ν</w:t>
            </w:r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1B10A3">
              <w:rPr>
                <w:rFonts w:ascii="Ping LCG Regular" w:hAnsi="Ping LCG Regular"/>
                <w:lang w:val="el-GR" w:eastAsia="el-GR"/>
              </w:rPr>
              <w:t>Ν. 4643/2019 (άρθρο 9, παρ.1)</w:t>
            </w:r>
            <w:r w:rsidR="00186BEC">
              <w:rPr>
                <w:rFonts w:ascii="Ping LCG Regular" w:hAnsi="Ping LCG Regular"/>
                <w:lang w:val="el-GR" w:eastAsia="el-GR"/>
              </w:rPr>
              <w:t>.</w:t>
            </w:r>
          </w:p>
          <w:p w14:paraId="49EDCCCE" w14:textId="77777777" w:rsidR="00D01D1A" w:rsidRPr="00D01D1A" w:rsidRDefault="00D01D1A" w:rsidP="00D01D1A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u w:val="single"/>
                <w:lang w:val="el-GR" w:eastAsia="el-GR"/>
              </w:rPr>
              <w:t>Υποψήφιος</w:t>
            </w:r>
            <w:r w:rsidRPr="00D01D1A">
              <w:rPr>
                <w:rFonts w:ascii="Ping LCG Regular" w:hAnsi="Ping LCG Regular"/>
                <w:lang w:val="el-GR" w:eastAsia="el-GR"/>
              </w:rPr>
              <w:t xml:space="preserve">: Κων/νος </w:t>
            </w:r>
            <w:proofErr w:type="spellStart"/>
            <w:r w:rsidRPr="00D01D1A">
              <w:rPr>
                <w:rFonts w:ascii="Ping LCG Regular" w:hAnsi="Ping LCG Regular"/>
                <w:lang w:val="el-GR" w:eastAsia="el-GR"/>
              </w:rPr>
              <w:t>Χολέβας</w:t>
            </w:r>
            <w:proofErr w:type="spellEnd"/>
          </w:p>
          <w:p w14:paraId="51CB7A6A" w14:textId="4B47C960" w:rsidR="00186BEC" w:rsidRPr="00AF3463" w:rsidRDefault="00D01D1A" w:rsidP="00D01D1A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(Βλ. το σχετικό βιογραφικό στον </w:t>
            </w:r>
            <w:proofErr w:type="spellStart"/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>ιστότοπο</w:t>
            </w:r>
            <w:proofErr w:type="spellEnd"/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της Εταιρείας)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2E5F91" w14:textId="3DA81C2B" w:rsid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754D7B94" w14:textId="388AD46D" w:rsidR="00186BEC" w:rsidRDefault="00186BEC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41043695" w14:textId="77777777" w:rsidR="00186BEC" w:rsidRPr="0004695B" w:rsidRDefault="00186BEC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51BC91CA" w14:textId="77777777" w:rsid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74E0E">
              <w:rPr>
                <w:rFonts w:ascii="Ping LCG Regular" w:hAnsi="Ping LCG Regular"/>
                <w:color w:val="000080"/>
                <w:szCs w:val="18"/>
              </w:rPr>
            </w:r>
            <w:r w:rsidR="00474E0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0624250E" w14:textId="0E2C3A13" w:rsidR="0004695B" w:rsidRPr="00157614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17D9954" w14:textId="77777777" w:rsid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74E0E">
              <w:rPr>
                <w:rFonts w:ascii="Ping LCG Regular" w:hAnsi="Ping LCG Regular"/>
                <w:color w:val="000080"/>
                <w:szCs w:val="18"/>
              </w:rPr>
            </w:r>
            <w:r w:rsidR="00474E0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3AE36D2" w14:textId="4386B293" w:rsidR="0004695B" w:rsidRPr="00157614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D29E6D" w14:textId="77777777" w:rsid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74E0E">
              <w:rPr>
                <w:rFonts w:ascii="Ping LCG Regular" w:hAnsi="Ping LCG Regular"/>
                <w:color w:val="000080"/>
                <w:szCs w:val="18"/>
              </w:rPr>
            </w:r>
            <w:r w:rsidR="00474E0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D79DAA0" w14:textId="20AC4B54" w:rsidR="0004695B" w:rsidRPr="00157614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B506E7" w:rsidRPr="008132B9" w14:paraId="11A37148" w14:textId="77777777" w:rsidTr="00F41C23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2C5521B6" w14:textId="71F0C88F" w:rsidR="00B506E7" w:rsidRPr="00CC1403" w:rsidRDefault="001B10A3" w:rsidP="00F41C23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2</w:t>
            </w:r>
            <w:r w:rsidR="00B506E7"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58FB1AA2" w14:textId="77777777" w:rsidR="00B506E7" w:rsidRPr="008132B9" w:rsidRDefault="00B506E7" w:rsidP="00F41C23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3998B0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0A357A1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5657E1A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bookmarkStart w:id="2" w:name="_GoBack"/>
      <w:bookmarkEnd w:id="2"/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334165FA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104 32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701B2" w14:textId="77777777" w:rsidR="00474E0E" w:rsidRDefault="00474E0E" w:rsidP="001B76DB">
      <w:pPr>
        <w:spacing w:before="0" w:after="0"/>
      </w:pPr>
      <w:r>
        <w:separator/>
      </w:r>
    </w:p>
  </w:endnote>
  <w:endnote w:type="continuationSeparator" w:id="0">
    <w:p w14:paraId="236F81A9" w14:textId="77777777" w:rsidR="00474E0E" w:rsidRDefault="00474E0E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38A6D748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1B10A3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C2491" w14:textId="77777777" w:rsidR="00474E0E" w:rsidRDefault="00474E0E" w:rsidP="001B76DB">
      <w:pPr>
        <w:spacing w:before="0" w:after="0"/>
      </w:pPr>
      <w:r>
        <w:separator/>
      </w:r>
    </w:p>
  </w:footnote>
  <w:footnote w:type="continuationSeparator" w:id="0">
    <w:p w14:paraId="56D24EB0" w14:textId="77777777" w:rsidR="00474E0E" w:rsidRDefault="00474E0E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56E9F"/>
    <w:rsid w:val="00074A5F"/>
    <w:rsid w:val="0008054C"/>
    <w:rsid w:val="000B767C"/>
    <w:rsid w:val="000C6967"/>
    <w:rsid w:val="000D4399"/>
    <w:rsid w:val="000D552C"/>
    <w:rsid w:val="000D57A1"/>
    <w:rsid w:val="000D6D0B"/>
    <w:rsid w:val="000F0EFC"/>
    <w:rsid w:val="0010703C"/>
    <w:rsid w:val="00121F47"/>
    <w:rsid w:val="00125E8F"/>
    <w:rsid w:val="00132E59"/>
    <w:rsid w:val="00133B56"/>
    <w:rsid w:val="001373D3"/>
    <w:rsid w:val="001472FC"/>
    <w:rsid w:val="001536C9"/>
    <w:rsid w:val="00157846"/>
    <w:rsid w:val="00186BEC"/>
    <w:rsid w:val="00197DB6"/>
    <w:rsid w:val="001A32DC"/>
    <w:rsid w:val="001A4540"/>
    <w:rsid w:val="001A6397"/>
    <w:rsid w:val="001A6817"/>
    <w:rsid w:val="001B10A3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8117C"/>
    <w:rsid w:val="002821B1"/>
    <w:rsid w:val="0028521B"/>
    <w:rsid w:val="002B7D37"/>
    <w:rsid w:val="002D6D0A"/>
    <w:rsid w:val="002E25C5"/>
    <w:rsid w:val="003053F4"/>
    <w:rsid w:val="00327BAE"/>
    <w:rsid w:val="00330EEE"/>
    <w:rsid w:val="00333C82"/>
    <w:rsid w:val="003378DF"/>
    <w:rsid w:val="00364091"/>
    <w:rsid w:val="003726BE"/>
    <w:rsid w:val="003756F2"/>
    <w:rsid w:val="003770A6"/>
    <w:rsid w:val="00381295"/>
    <w:rsid w:val="00383ACD"/>
    <w:rsid w:val="0039109F"/>
    <w:rsid w:val="003A1FA2"/>
    <w:rsid w:val="003A66BF"/>
    <w:rsid w:val="003B09FE"/>
    <w:rsid w:val="003B388C"/>
    <w:rsid w:val="003C1E3E"/>
    <w:rsid w:val="003D2C5C"/>
    <w:rsid w:val="00411C48"/>
    <w:rsid w:val="004244CE"/>
    <w:rsid w:val="00425205"/>
    <w:rsid w:val="00441D2E"/>
    <w:rsid w:val="00441F33"/>
    <w:rsid w:val="00442AEF"/>
    <w:rsid w:val="004635F1"/>
    <w:rsid w:val="004702B1"/>
    <w:rsid w:val="004727C2"/>
    <w:rsid w:val="004740A7"/>
    <w:rsid w:val="00474E0E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7289B"/>
    <w:rsid w:val="005810F5"/>
    <w:rsid w:val="00590B67"/>
    <w:rsid w:val="005A6D41"/>
    <w:rsid w:val="005C263F"/>
    <w:rsid w:val="005D065B"/>
    <w:rsid w:val="005D1044"/>
    <w:rsid w:val="005E7C65"/>
    <w:rsid w:val="005F3321"/>
    <w:rsid w:val="005F3D17"/>
    <w:rsid w:val="00601DED"/>
    <w:rsid w:val="006041FB"/>
    <w:rsid w:val="00604EE8"/>
    <w:rsid w:val="006127DE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3640"/>
    <w:rsid w:val="00684306"/>
    <w:rsid w:val="0069711B"/>
    <w:rsid w:val="006B1ECA"/>
    <w:rsid w:val="006B5B52"/>
    <w:rsid w:val="006C704F"/>
    <w:rsid w:val="006D6175"/>
    <w:rsid w:val="006D7D3D"/>
    <w:rsid w:val="006E7517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C72EF"/>
    <w:rsid w:val="007D313F"/>
    <w:rsid w:val="007D74AE"/>
    <w:rsid w:val="007E0728"/>
    <w:rsid w:val="007F5C70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B2EDD"/>
    <w:rsid w:val="008B3588"/>
    <w:rsid w:val="008B782F"/>
    <w:rsid w:val="008C107C"/>
    <w:rsid w:val="008C1264"/>
    <w:rsid w:val="008C1F66"/>
    <w:rsid w:val="008D6E9F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F51FB"/>
    <w:rsid w:val="009F7054"/>
    <w:rsid w:val="00A15025"/>
    <w:rsid w:val="00A24FA6"/>
    <w:rsid w:val="00A3759E"/>
    <w:rsid w:val="00A51A3F"/>
    <w:rsid w:val="00A66E60"/>
    <w:rsid w:val="00A67C2A"/>
    <w:rsid w:val="00A816D8"/>
    <w:rsid w:val="00A85D30"/>
    <w:rsid w:val="00A91CCB"/>
    <w:rsid w:val="00A91F82"/>
    <w:rsid w:val="00AE1EFE"/>
    <w:rsid w:val="00AF258F"/>
    <w:rsid w:val="00AF7302"/>
    <w:rsid w:val="00B15A5A"/>
    <w:rsid w:val="00B204A1"/>
    <w:rsid w:val="00B226D6"/>
    <w:rsid w:val="00B259F4"/>
    <w:rsid w:val="00B42C73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CF8"/>
    <w:rsid w:val="00BE0669"/>
    <w:rsid w:val="00BE2B70"/>
    <w:rsid w:val="00BF1D4A"/>
    <w:rsid w:val="00BF320F"/>
    <w:rsid w:val="00BF4E1B"/>
    <w:rsid w:val="00BF7E9E"/>
    <w:rsid w:val="00C019D9"/>
    <w:rsid w:val="00C06530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B665C"/>
    <w:rsid w:val="00CC5317"/>
    <w:rsid w:val="00CC5EFD"/>
    <w:rsid w:val="00CD712B"/>
    <w:rsid w:val="00CF0FD6"/>
    <w:rsid w:val="00D01D1A"/>
    <w:rsid w:val="00D10131"/>
    <w:rsid w:val="00D4108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A11D9"/>
    <w:rsid w:val="00DA1722"/>
    <w:rsid w:val="00DE7C8F"/>
    <w:rsid w:val="00DF02AF"/>
    <w:rsid w:val="00E03DD6"/>
    <w:rsid w:val="00E07D3F"/>
    <w:rsid w:val="00E129DC"/>
    <w:rsid w:val="00E252A0"/>
    <w:rsid w:val="00E27E38"/>
    <w:rsid w:val="00E4655F"/>
    <w:rsid w:val="00E50159"/>
    <w:rsid w:val="00E5653A"/>
    <w:rsid w:val="00E60FAE"/>
    <w:rsid w:val="00E6612E"/>
    <w:rsid w:val="00E819E7"/>
    <w:rsid w:val="00E924BB"/>
    <w:rsid w:val="00E95EDC"/>
    <w:rsid w:val="00EB53C9"/>
    <w:rsid w:val="00EC5CA6"/>
    <w:rsid w:val="00EC68BE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96E4A"/>
    <w:rsid w:val="00FA2BBD"/>
    <w:rsid w:val="00FB3B31"/>
    <w:rsid w:val="00FB3CD7"/>
    <w:rsid w:val="00FB5BF8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9441A-6EA2-4A96-AFDB-580FB78D7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AC93EE6-0F38-4070-8FEE-9C3367D7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3</cp:revision>
  <cp:lastPrinted>2020-05-04T15:01:00Z</cp:lastPrinted>
  <dcterms:created xsi:type="dcterms:W3CDTF">2022-04-05T10:01:00Z</dcterms:created>
  <dcterms:modified xsi:type="dcterms:W3CDTF">2022-04-12T12:07:00Z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