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ACC6" w14:textId="47B6C84E" w:rsidR="00A01B77" w:rsidRPr="008E19A1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D02E28" w:rsidRPr="008E19A1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C44948">
        <w:rPr>
          <w:rFonts w:ascii="Ping LCG Regular" w:hAnsi="Ping LCG Regular"/>
          <w:b/>
          <w:lang w:val="en-US"/>
        </w:rPr>
        <w:t>December</w:t>
      </w:r>
      <w:r w:rsidR="00F068E1">
        <w:rPr>
          <w:rFonts w:ascii="Ping LCG Regular" w:hAnsi="Ping LCG Regular"/>
          <w:b/>
          <w:lang w:val="en-US"/>
        </w:rPr>
        <w:t xml:space="preserve"> </w:t>
      </w:r>
      <w:r w:rsidR="00C44948">
        <w:rPr>
          <w:rFonts w:ascii="Ping LCG Regular" w:hAnsi="Ping LCG Regular"/>
          <w:b/>
          <w:lang w:val="en-US"/>
        </w:rPr>
        <w:t>16</w:t>
      </w:r>
      <w:r w:rsidR="00D02E28" w:rsidRPr="008E19A1">
        <w:rPr>
          <w:rFonts w:ascii="Ping LCG Regular" w:hAnsi="Ping LCG Regular"/>
          <w:b/>
          <w:lang w:val="en-US"/>
        </w:rPr>
        <w:t>, 2021</w:t>
      </w:r>
    </w:p>
    <w:p w14:paraId="5CF2CA65" w14:textId="550A19A6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A01B77" w:rsidRPr="008E19A1">
        <w:rPr>
          <w:rFonts w:ascii="Ping LCG Regular" w:hAnsi="Ping LCG Regular"/>
          <w:b/>
          <w:lang w:val="en-US"/>
        </w:rPr>
        <w:t>or at any repetitive, following a recess or postponement etc. meeting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567"/>
        <w:gridCol w:w="2268"/>
        <w:gridCol w:w="5839"/>
        <w:gridCol w:w="397"/>
      </w:tblGrid>
      <w:tr w:rsidR="00A01B77" w:rsidRPr="00B368E6" w14:paraId="5A0055D1" w14:textId="77777777" w:rsidTr="00A122EB">
        <w:trPr>
          <w:trHeight w:val="340"/>
        </w:trPr>
        <w:tc>
          <w:tcPr>
            <w:tcW w:w="9071" w:type="dxa"/>
            <w:gridSpan w:val="4"/>
          </w:tcPr>
          <w:p w14:paraId="2C47CFE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</w:p>
        </w:tc>
      </w:tr>
      <w:tr w:rsidR="00A01B77" w:rsidRPr="00B368E6" w14:paraId="1508604F" w14:textId="77777777" w:rsidTr="00A122EB">
        <w:trPr>
          <w:trHeight w:val="340"/>
        </w:trPr>
        <w:tc>
          <w:tcPr>
            <w:tcW w:w="567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81A8C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4" w:type="dxa"/>
            <w:gridSpan w:val="3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Georgios </w:t>
            </w:r>
            <w:proofErr w:type="spellStart"/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Stassis</w:t>
            </w:r>
            <w:proofErr w:type="spellEnd"/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A122EB">
        <w:tc>
          <w:tcPr>
            <w:tcW w:w="567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4" w:type="dxa"/>
            <w:gridSpan w:val="3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A122EB">
        <w:trPr>
          <w:trHeight w:val="304"/>
        </w:trPr>
        <w:tc>
          <w:tcPr>
            <w:tcW w:w="9071" w:type="dxa"/>
            <w:gridSpan w:val="4"/>
          </w:tcPr>
          <w:p w14:paraId="79690CA2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Pr="00B368E6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1"/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</w:t>
            </w:r>
            <w:r w:rsidRPr="00B368E6">
              <w:rPr>
                <w:rStyle w:val="af4"/>
                <w:rFonts w:ascii="Ping LCG Regular" w:hAnsi="Ping LCG Regular" w:cs="Tahoma"/>
                <w:sz w:val="18"/>
                <w:szCs w:val="18"/>
                <w:lang w:val="en-US"/>
              </w:rPr>
              <w:footnoteReference w:id="2"/>
            </w:r>
          </w:p>
        </w:tc>
      </w:tr>
      <w:tr w:rsidR="00A01B77" w:rsidRPr="00B368E6" w14:paraId="796C66D0" w14:textId="77777777" w:rsidTr="00A122EB">
        <w:trPr>
          <w:trHeight w:val="340"/>
        </w:trPr>
        <w:tc>
          <w:tcPr>
            <w:tcW w:w="567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81A8C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A122EB">
        <w:trPr>
          <w:trHeight w:val="340"/>
        </w:trPr>
        <w:tc>
          <w:tcPr>
            <w:tcW w:w="567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2A7F99B2" w14:textId="77777777" w:rsidR="00455DDC" w:rsidRDefault="00455DDC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</w:p>
          <w:p w14:paraId="7DE57E42" w14:textId="1C7408B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A122EB">
        <w:trPr>
          <w:trHeight w:val="340"/>
        </w:trPr>
        <w:tc>
          <w:tcPr>
            <w:tcW w:w="567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6E833" w14:textId="0CB87BDA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455DDC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A122EB">
        <w:trPr>
          <w:gridAfter w:val="1"/>
          <w:wAfter w:w="397" w:type="dxa"/>
          <w:trHeight w:val="340"/>
        </w:trPr>
        <w:tc>
          <w:tcPr>
            <w:tcW w:w="567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2"/>
            <w:shd w:val="clear" w:color="auto" w:fill="auto"/>
          </w:tcPr>
          <w:p w14:paraId="007F05FC" w14:textId="7BDBCFDF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618EDEDB" w14:textId="77777777" w:rsidR="002F0ACD" w:rsidRDefault="002F0ACD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D9035D6" w14:textId="7E187981" w:rsidR="00A01B77" w:rsidRPr="00B368E6" w:rsidRDefault="00A01B77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To whom I give the order, the authorization and the right, to represent me / the legal person</w:t>
      </w:r>
      <w:r w:rsidRPr="00B368E6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3"/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D304BE" w:rsidRPr="00B368E6">
        <w:rPr>
          <w:rFonts w:ascii="Ping LCG Regular" w:hAnsi="Ping LCG Regular" w:cs="Tahoma"/>
          <w:sz w:val="18"/>
          <w:szCs w:val="18"/>
          <w:lang w:val="en-US"/>
        </w:rPr>
        <w:t>Extraordinary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General Meeting of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which will be convened by teleconference on </w:t>
      </w:r>
      <w:r w:rsidR="00801F63">
        <w:rPr>
          <w:rFonts w:ascii="Ping LCG Regular" w:hAnsi="Ping LCG Regular" w:cs="Tahoma"/>
          <w:b/>
          <w:bCs/>
          <w:sz w:val="18"/>
          <w:szCs w:val="18"/>
          <w:lang w:val="en-US"/>
        </w:rPr>
        <w:t>December</w:t>
      </w:r>
      <w:r w:rsidR="00F068E1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801F63">
        <w:rPr>
          <w:rFonts w:ascii="Ping LCG Regular" w:hAnsi="Ping LCG Regular" w:cs="Tahoma"/>
          <w:b/>
          <w:bCs/>
          <w:sz w:val="18"/>
          <w:szCs w:val="18"/>
          <w:lang w:val="en-US"/>
        </w:rPr>
        <w:t>16</w:t>
      </w:r>
      <w:r w:rsidR="009C0B6D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, 2021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at </w:t>
      </w:r>
      <w:r w:rsidR="009C0B6D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11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7F61C1"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a.m.</w:t>
      </w:r>
      <w:r w:rsidRPr="00F068E1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in Athens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30, </w:t>
      </w:r>
      <w:proofErr w:type="spellStart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>Chalkokondyli</w:t>
      </w:r>
      <w:proofErr w:type="spellEnd"/>
      <w:r w:rsidR="009C0B6D" w:rsidRPr="00B368E6">
        <w:rPr>
          <w:rFonts w:ascii="Ping LCG Regular" w:hAnsi="Ping LCG Regular" w:cs="Tahoma"/>
          <w:sz w:val="18"/>
          <w:szCs w:val="18"/>
          <w:lang w:val="en-US"/>
        </w:rPr>
        <w:t xml:space="preserve"> St.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, “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>Board of Directors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” hall, </w:t>
      </w:r>
      <w:r w:rsidR="001F32A4" w:rsidRPr="00B368E6">
        <w:rPr>
          <w:rFonts w:ascii="Ping LCG Regular" w:hAnsi="Ping LCG Regular" w:cs="Tahoma"/>
          <w:sz w:val="18"/>
          <w:szCs w:val="18"/>
          <w:lang w:val="en-US"/>
        </w:rPr>
        <w:t xml:space="preserve">in order to take part 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in the discussion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and to vote</w:t>
      </w:r>
      <w:r w:rsidR="005308FC" w:rsidRPr="00B368E6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repetitive, or following a recess or postponement of the Meeting or on the postponement of the discussion on all or part of the items of the agenda as follows</w:t>
      </w:r>
      <w:r w:rsidRPr="00B368E6">
        <w:rPr>
          <w:rStyle w:val="af4"/>
          <w:rFonts w:ascii="Ping LCG Regular" w:hAnsi="Ping LCG Regular" w:cs="Tahoma"/>
          <w:sz w:val="18"/>
          <w:szCs w:val="18"/>
          <w:lang w:val="en-US"/>
        </w:rPr>
        <w:footnoteReference w:id="4"/>
      </w:r>
      <w:r w:rsidRPr="00B368E6">
        <w:rPr>
          <w:rFonts w:ascii="Ping LCG Regular" w:hAnsi="Ping LCG Regular" w:cs="Tahoma"/>
          <w:sz w:val="18"/>
          <w:szCs w:val="18"/>
          <w:lang w:val="en-US"/>
        </w:rPr>
        <w:t>:</w:t>
      </w:r>
    </w:p>
    <w:p w14:paraId="0C28CFB3" w14:textId="7DE8FBDC" w:rsidR="00DA0ED3" w:rsidRDefault="00DA0ED3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6E131656" w14:textId="6D4CE557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3A071D70" w14:textId="3E011BA4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8E4722" w14:textId="2C4BB40D" w:rsid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74429EAC" w14:textId="77777777" w:rsidR="00B368E6" w:rsidRPr="00B368E6" w:rsidRDefault="00B368E6" w:rsidP="00A01B77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29FF9BA2" w14:textId="257EF736" w:rsidR="00A01B77" w:rsidRDefault="00A01B77" w:rsidP="00A01B77">
      <w:pPr>
        <w:spacing w:before="120" w:after="100" w:afterAutospacing="1"/>
        <w:rPr>
          <w:rFonts w:ascii="Ping LCG Regular" w:hAnsi="Ping LCG Regular" w:cs="Tahoma"/>
          <w:b/>
          <w:color w:val="006EAB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b/>
          <w:color w:val="006EAB"/>
          <w:sz w:val="18"/>
          <w:szCs w:val="18"/>
          <w:lang w:val="en-US"/>
        </w:rPr>
        <w:t>ITEMS OF THE AGENDA:</w:t>
      </w:r>
    </w:p>
    <w:tbl>
      <w:tblPr>
        <w:tblW w:w="949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1126"/>
        <w:gridCol w:w="990"/>
      </w:tblGrid>
      <w:tr w:rsidR="00C44948" w:rsidRPr="003A243F" w14:paraId="0B9805D5" w14:textId="77777777" w:rsidTr="00801F63">
        <w:trPr>
          <w:cantSplit/>
          <w:trHeight w:val="283"/>
          <w:tblHeader/>
          <w:jc w:val="center"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49FB92D3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</w:rPr>
            </w:pPr>
            <w:r w:rsidRPr="00B21F29">
              <w:rPr>
                <w:rFonts w:ascii="Ping LCG Regular" w:hAnsi="Ping LCG Regular" w:cs="Arial"/>
                <w:b/>
                <w:color w:val="006EAB"/>
                <w:lang w:val="en-US"/>
              </w:rPr>
              <w:t>Item</w:t>
            </w:r>
          </w:p>
        </w:tc>
        <w:tc>
          <w:tcPr>
            <w:tcW w:w="5669" w:type="dxa"/>
            <w:shd w:val="clear" w:color="auto" w:fill="D9D9D9" w:themeFill="background1" w:themeFillShade="D9"/>
            <w:vAlign w:val="center"/>
          </w:tcPr>
          <w:p w14:paraId="533C971D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7E21D4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2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E4AA3E" w14:textId="77777777" w:rsidR="00C44948" w:rsidRPr="00B21F29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bCs/>
                <w:color w:val="006EAB"/>
                <w:sz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63D966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/>
                <w:color w:val="006EAB"/>
                <w:sz w:val="18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C44948" w:rsidRPr="00D130D2" w14:paraId="7A20EA56" w14:textId="77777777" w:rsidTr="00801F63">
        <w:trPr>
          <w:cantSplit/>
          <w:trHeight w:val="283"/>
          <w:jc w:val="center"/>
        </w:trPr>
        <w:tc>
          <w:tcPr>
            <w:tcW w:w="855" w:type="dxa"/>
            <w:vMerge w:val="restar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22485CF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  <w:t>1</w:t>
            </w:r>
            <w:proofErr w:type="spellStart"/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  <w:proofErr w:type="spellEnd"/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vAlign w:val="center"/>
          </w:tcPr>
          <w:p w14:paraId="2E2E3057" w14:textId="77777777" w:rsidR="00C44948" w:rsidRPr="003A243F" w:rsidRDefault="00C44948" w:rsidP="00F41C23">
            <w:pPr>
              <w:spacing w:beforeAutospacing="1" w:after="160" w:line="259" w:lineRule="auto"/>
              <w:jc w:val="left"/>
              <w:rPr>
                <w:rFonts w:ascii="Ping LCG Regular" w:hAnsi="Ping LCG Regular"/>
                <w:sz w:val="18"/>
                <w:lang w:val="en-US" w:eastAsia="el-GR"/>
              </w:rPr>
            </w:pPr>
            <w:r w:rsidRPr="00D130D2"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Election of two (2) Members of the Board of Directors due to the expiration of the term of office of an equal number of Members.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FFFFFF"/>
            <w:vAlign w:val="center"/>
          </w:tcPr>
          <w:p w14:paraId="3D0140CA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</w:tcPr>
          <w:p w14:paraId="741F4E49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FFFFFF"/>
            <w:vAlign w:val="center"/>
          </w:tcPr>
          <w:p w14:paraId="700B3C9B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n-US"/>
              </w:rPr>
            </w:pPr>
          </w:p>
        </w:tc>
      </w:tr>
      <w:tr w:rsidR="00C44948" w:rsidRPr="003A243F" w14:paraId="3CF2FB3D" w14:textId="77777777" w:rsidTr="00801F63">
        <w:trPr>
          <w:cantSplit/>
          <w:trHeight w:val="301"/>
          <w:jc w:val="center"/>
        </w:trPr>
        <w:tc>
          <w:tcPr>
            <w:tcW w:w="85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BCAD1F6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EE5B9CA" w14:textId="6A08694D" w:rsidR="00C44948" w:rsidRPr="003A243F" w:rsidRDefault="00C20A60" w:rsidP="00C44948">
            <w:pPr>
              <w:numPr>
                <w:ilvl w:val="0"/>
                <w:numId w:val="32"/>
              </w:numPr>
              <w:spacing w:before="40" w:beforeAutospacing="1" w:after="40" w:line="240" w:lineRule="auto"/>
              <w:ind w:left="311" w:hanging="311"/>
              <w:contextualSpacing/>
              <w:rPr>
                <w:rFonts w:ascii="Ping LCG Regular" w:hAnsi="Ping LCG Regular"/>
                <w:sz w:val="18"/>
                <w:lang w:val="el-GR" w:eastAsia="el-GR"/>
              </w:rPr>
            </w:pPr>
            <w:proofErr w:type="spellStart"/>
            <w:r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Karakousis</w:t>
            </w:r>
            <w:proofErr w:type="spellEnd"/>
            <w:r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 xml:space="preserve"> George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bottom"/>
          </w:tcPr>
          <w:p w14:paraId="1E1531AF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2E1FBC00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127C1309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C44948" w:rsidRPr="003A243F" w14:paraId="6FF0F549" w14:textId="77777777" w:rsidTr="00801F63">
        <w:trPr>
          <w:cantSplit/>
          <w:trHeight w:val="283"/>
          <w:jc w:val="center"/>
        </w:trPr>
        <w:tc>
          <w:tcPr>
            <w:tcW w:w="85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09D2B20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88C4DE8" w14:textId="477564A2" w:rsidR="00C44948" w:rsidRPr="003A243F" w:rsidRDefault="00C20A60" w:rsidP="00C44948">
            <w:pPr>
              <w:numPr>
                <w:ilvl w:val="0"/>
                <w:numId w:val="32"/>
              </w:numPr>
              <w:spacing w:before="40" w:beforeAutospacing="1" w:after="40" w:line="240" w:lineRule="auto"/>
              <w:ind w:left="311" w:hanging="311"/>
              <w:contextualSpacing/>
              <w:rPr>
                <w:rFonts w:ascii="Ping LCG Regular" w:hAnsi="Ping LCG Regular"/>
                <w:sz w:val="18"/>
                <w:lang w:val="el-GR" w:eastAsia="el-GR"/>
              </w:rPr>
            </w:pPr>
            <w:proofErr w:type="spellStart"/>
            <w:r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>Psillaki</w:t>
            </w:r>
            <w:proofErr w:type="spellEnd"/>
            <w:r>
              <w:rPr>
                <w:rFonts w:ascii="Ping LCG Regular" w:hAnsi="Ping LCG Regular" w:cs="Tahoma"/>
                <w:snapToGrid w:val="0"/>
                <w:sz w:val="18"/>
                <w:szCs w:val="18"/>
                <w:lang w:val="en-US"/>
              </w:rPr>
              <w:t xml:space="preserve"> Maria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/>
            <w:vAlign w:val="bottom"/>
          </w:tcPr>
          <w:p w14:paraId="79958A9B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78F34787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/>
            </w:tcBorders>
            <w:shd w:val="clear" w:color="auto" w:fill="FFFFFF"/>
            <w:vAlign w:val="bottom"/>
          </w:tcPr>
          <w:p w14:paraId="280C038D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C44948" w:rsidRPr="003A243F" w14:paraId="492422C8" w14:textId="77777777" w:rsidTr="00801F63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/>
            </w:tcBorders>
            <w:vAlign w:val="center"/>
          </w:tcPr>
          <w:p w14:paraId="43A5CC78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bCs/>
                <w:color w:val="006EAB"/>
                <w:sz w:val="18"/>
                <w:szCs w:val="18"/>
                <w:lang w:val="en-US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</w:rPr>
              <w:t>2</w:t>
            </w: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</w:rPr>
              <w:t>nd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6A6A6"/>
              <w:right w:val="single" w:sz="4" w:space="0" w:color="A6A6A6" w:themeColor="background1" w:themeShade="A6"/>
            </w:tcBorders>
            <w:vAlign w:val="center"/>
          </w:tcPr>
          <w:p w14:paraId="4AA1E24C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n-US"/>
              </w:rPr>
            </w:pPr>
            <w:r w:rsidRPr="00D130D2">
              <w:rPr>
                <w:rFonts w:ascii="Ping LCG Regular" w:hAnsi="Ping LCG Regular"/>
                <w:sz w:val="18"/>
                <w:lang w:val="en-US" w:eastAsia="el-GR"/>
              </w:rPr>
              <w:t>Determination of the type, the composition, the term of office and the capacities of the Members of PPC S.A. Audit Committee.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/>
            <w:vAlign w:val="center"/>
          </w:tcPr>
          <w:p w14:paraId="3F735B1F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tcBorders>
              <w:top w:val="single" w:sz="4" w:space="0" w:color="A6A6A6"/>
              <w:left w:val="nil"/>
            </w:tcBorders>
            <w:shd w:val="clear" w:color="auto" w:fill="FFFFFF"/>
            <w:vAlign w:val="center"/>
          </w:tcPr>
          <w:p w14:paraId="477B821D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/>
            </w:tcBorders>
            <w:shd w:val="clear" w:color="auto" w:fill="FFFFFF"/>
            <w:vAlign w:val="center"/>
          </w:tcPr>
          <w:p w14:paraId="683B61CF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81A8C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3A243F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C44948" w:rsidRPr="003A243F" w14:paraId="759F731F" w14:textId="77777777" w:rsidTr="00801F63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0A5731AB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l-GR"/>
              </w:rPr>
            </w:pP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3A243F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9" w:type="dxa"/>
          </w:tcPr>
          <w:p w14:paraId="4E192CE2" w14:textId="77777777" w:rsidR="00C44948" w:rsidRPr="003A243F" w:rsidRDefault="00C44948" w:rsidP="00F41C23">
            <w:pPr>
              <w:spacing w:before="40" w:after="40" w:line="240" w:lineRule="auto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l-GR"/>
              </w:rPr>
            </w:pP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Announcements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 xml:space="preserve"> and </w:t>
            </w: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other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items</w:t>
            </w:r>
            <w:proofErr w:type="spellEnd"/>
            <w:r w:rsidRPr="003A243F">
              <w:rPr>
                <w:rFonts w:ascii="Ping LCG Regular" w:hAnsi="Ping LCG Regular" w:cs="Calibri"/>
                <w:snapToGrid w:val="0"/>
                <w:sz w:val="18"/>
                <w:szCs w:val="18"/>
                <w:lang w:val="el-GR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36DBCA0C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</w:tcPr>
          <w:p w14:paraId="28E2F013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520C7D8" w14:textId="77777777" w:rsidR="00C44948" w:rsidRPr="003A243F" w:rsidRDefault="00C44948" w:rsidP="00F41C23">
            <w:pPr>
              <w:spacing w:before="40" w:after="40" w:line="240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</w:tbl>
    <w:p w14:paraId="76CDC9DF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FC65BC2" w14:textId="77777777" w:rsidR="00A01B77" w:rsidRPr="00B368E6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 hours before the corresponding date of the General Meeting.</w:t>
      </w:r>
    </w:p>
    <w:p w14:paraId="229E1000" w14:textId="77777777" w:rsidR="002C780C" w:rsidRDefault="002C780C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</w:p>
    <w:p w14:paraId="07BB031D" w14:textId="414C2E6E" w:rsidR="00A01B77" w:rsidRP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</w:pPr>
      <w:r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  <w:t>In case of submission of additi</w:t>
      </w:r>
      <w:r w:rsidRPr="008B586F"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  <w:t>onal candidac</w:t>
      </w:r>
      <w:r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  <w:t>ies</w:t>
      </w:r>
      <w:r w:rsidRPr="008B586F"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  <w:t xml:space="preserve">, the present document </w:t>
      </w:r>
      <w:r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  <w:t xml:space="preserve">will </w:t>
      </w:r>
      <w:r w:rsidRPr="008B586F">
        <w:rPr>
          <w:rFonts w:ascii="Ping LCG Regular" w:hAnsi="Ping LCG Regular" w:cs="Arial"/>
          <w:b/>
          <w:bCs/>
          <w:snapToGrid w:val="0"/>
          <w:sz w:val="18"/>
          <w:szCs w:val="18"/>
          <w:u w:val="single"/>
          <w:lang w:val="en-US"/>
        </w:rPr>
        <w:t>be replaced by a new one.</w:t>
      </w:r>
    </w:p>
    <w:p w14:paraId="6438E2B8" w14:textId="755EA3E7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4AC2C6CF" w14:textId="7566735F" w:rsidR="008B586F" w:rsidRDefault="008B586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7664E7FD" w14:textId="1824C515" w:rsidR="00D97655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5A966F5" w14:textId="77777777" w:rsidR="00D97655" w:rsidRPr="00B368E6" w:rsidRDefault="00D9765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  <w:bookmarkStart w:id="0" w:name="_GoBack"/>
      <w:bookmarkEnd w:id="0"/>
    </w:p>
    <w:p w14:paraId="2C7316A6" w14:textId="77777777" w:rsidR="00A01B77" w:rsidRPr="00B368E6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 w:val="18"/>
          <w:szCs w:val="18"/>
          <w:lang w:val="en-US"/>
        </w:rPr>
      </w:pPr>
    </w:p>
    <w:p w14:paraId="5638B119" w14:textId="2D8FE166" w:rsidR="00A01B77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68E6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68E6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03C6E0DF" w14:textId="7FAD842E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D0F350E" w14:textId="7B734E26" w:rsidR="00FA49B2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189EF95" w14:textId="77777777" w:rsidR="00FA49B2" w:rsidRPr="00B368E6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3B05F87F" w:rsidR="00FA49B2" w:rsidRPr="00FA49B2" w:rsidRDefault="00A01B77" w:rsidP="00A01B7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lang w:val="en-US"/>
        </w:rPr>
      </w:pP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Please send this document to the 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F068E1" w:rsidRPr="00FA49B2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475CA5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or by fax at +30</w:t>
      </w:r>
      <w:r w:rsidRPr="00FA49B2">
        <w:rPr>
          <w:rFonts w:ascii="Ping LCG Regular" w:hAnsi="Ping LCG Regular" w:cs="Arial"/>
          <w:b/>
          <w:snapToGrid w:val="0"/>
          <w:color w:val="006EAB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5230394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or by email at </w:t>
      </w:r>
      <w:hyperlink r:id="rId9" w:history="1">
        <w:r w:rsidR="00F068E1" w:rsidRPr="00FA49B2">
          <w:rPr>
            <w:rStyle w:val="-"/>
            <w:rFonts w:ascii="Ping LCG Regular" w:hAnsi="Ping LCG Regular" w:cs="Arial"/>
            <w:snapToGrid w:val="0"/>
            <w:lang w:val="en-US"/>
          </w:rPr>
          <w:t>cass@dei.gr</w:t>
        </w:r>
      </w:hyperlink>
      <w:r w:rsidR="00A61E99" w:rsidRPr="00FA49B2">
        <w:rPr>
          <w:rFonts w:ascii="Ping LCG Regular" w:hAnsi="Ping LCG Regular" w:cs="Arial"/>
          <w:snapToGrid w:val="0"/>
          <w:lang w:val="en-US"/>
        </w:rPr>
        <w:t xml:space="preserve"> </w:t>
      </w:r>
      <w:r w:rsidRPr="00FA49B2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at least forty-eight </w:t>
      </w:r>
      <w:r w:rsidR="003677D0"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(48) </w:t>
      </w:r>
      <w:r w:rsidRPr="00FA49B2">
        <w:rPr>
          <w:rFonts w:ascii="Ping LCG Regular" w:hAnsi="Ping LCG Regular" w:cs="Arial"/>
          <w:snapToGrid w:val="0"/>
          <w:color w:val="006EAB"/>
          <w:u w:val="single"/>
          <w:lang w:val="en-US"/>
        </w:rPr>
        <w:t>hours before the date of the General Meeting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 and the original to the Company:</w:t>
      </w:r>
      <w:r w:rsidR="00B21E20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30 </w:t>
      </w:r>
      <w:proofErr w:type="spellStart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proofErr w:type="spellEnd"/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St., 104 32, Athens Greece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, c/o 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Ms. Tsiaka Chr.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>,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 xml:space="preserve">        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tel.</w:t>
      </w:r>
      <w:r w:rsidR="00FA49B2">
        <w:rPr>
          <w:rFonts w:ascii="Ping LCG Regular" w:hAnsi="Ping LCG Regular" w:cs="Arial"/>
          <w:snapToGrid w:val="0"/>
          <w:color w:val="006EAB"/>
          <w:lang w:val="en-US"/>
        </w:rPr>
        <w:t>:</w:t>
      </w:r>
      <w:r w:rsidRPr="00FA49B2">
        <w:rPr>
          <w:rFonts w:ascii="Ping LCG Regular" w:hAnsi="Ping LCG Regular" w:cs="Arial"/>
          <w:snapToGrid w:val="0"/>
          <w:color w:val="006EAB"/>
          <w:lang w:val="en-US"/>
        </w:rPr>
        <w:t xml:space="preserve"> +30 210/</w:t>
      </w:r>
      <w:r w:rsidR="00A61E99" w:rsidRPr="00FA49B2">
        <w:rPr>
          <w:rFonts w:ascii="Ping LCG Regular" w:hAnsi="Ping LCG Regular" w:cs="Arial"/>
          <w:snapToGrid w:val="0"/>
          <w:color w:val="006EAB"/>
          <w:lang w:val="en-US"/>
        </w:rPr>
        <w:t>5293207</w:t>
      </w:r>
    </w:p>
    <w:sectPr w:rsidR="00FA49B2" w:rsidRPr="00FA49B2" w:rsidSect="00136898">
      <w:headerReference w:type="default" r:id="rId10"/>
      <w:footerReference w:type="default" r:id="rId11"/>
      <w:headerReference w:type="first" r:id="rId12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DA28" w14:textId="77777777" w:rsidR="00081A8C" w:rsidRDefault="00081A8C">
      <w:r>
        <w:separator/>
      </w:r>
    </w:p>
  </w:endnote>
  <w:endnote w:type="continuationSeparator" w:id="0">
    <w:p w14:paraId="42B5A7F7" w14:textId="77777777" w:rsidR="00081A8C" w:rsidRDefault="0008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C795" w14:textId="2C8EBB6F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07B9D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ED0D" w14:textId="77777777" w:rsidR="00081A8C" w:rsidRDefault="00081A8C">
      <w:r>
        <w:separator/>
      </w:r>
    </w:p>
  </w:footnote>
  <w:footnote w:type="continuationSeparator" w:id="0">
    <w:p w14:paraId="7A9D6841" w14:textId="77777777" w:rsidR="00081A8C" w:rsidRDefault="00081A8C">
      <w:r>
        <w:continuationSeparator/>
      </w:r>
    </w:p>
  </w:footnote>
  <w:footnote w:id="1">
    <w:p w14:paraId="37324B68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the name</w:t>
      </w:r>
      <w:r>
        <w:rPr>
          <w:i/>
          <w:color w:val="006EAB"/>
          <w:sz w:val="16"/>
          <w:szCs w:val="16"/>
          <w:lang w:val="en-US"/>
        </w:rPr>
        <w:t xml:space="preserve"> of one (1) proxy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</w:footnote>
  <w:footnote w:id="2">
    <w:p w14:paraId="1F839872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i/>
          <w:color w:val="006EAB"/>
          <w:sz w:val="16"/>
          <w:szCs w:val="16"/>
        </w:rPr>
        <w:footnoteRef/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</w:footnote>
  <w:footnote w:id="3">
    <w:p w14:paraId="167C01B8" w14:textId="77777777" w:rsidR="00A122EB" w:rsidRPr="00150660" w:rsidRDefault="00A122EB" w:rsidP="00A01B77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150660">
        <w:rPr>
          <w:rStyle w:val="af4"/>
          <w:i/>
          <w:color w:val="006EAB"/>
          <w:sz w:val="16"/>
          <w:szCs w:val="16"/>
        </w:rPr>
        <w:footnoteRef/>
      </w:r>
      <w:r w:rsidRPr="00150660">
        <w:rPr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Please delete accordingly</w:t>
      </w:r>
    </w:p>
  </w:footnote>
  <w:footnote w:id="4">
    <w:p w14:paraId="2E5A9B14" w14:textId="77777777" w:rsidR="00A122EB" w:rsidRPr="00BD0674" w:rsidRDefault="00A122EB" w:rsidP="00A01B77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 xml:space="preserve">Please </w:t>
      </w:r>
      <w:r w:rsidRPr="00BD0674">
        <w:rPr>
          <w:i/>
          <w:color w:val="006EAB"/>
          <w:sz w:val="16"/>
          <w:szCs w:val="16"/>
          <w:lang w:val="en-US"/>
        </w:rPr>
        <w:t>indicate your vote by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marking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with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a</w:t>
      </w:r>
      <w:r w:rsidRPr="00BD0674">
        <w:rPr>
          <w:i/>
          <w:color w:val="006EAB"/>
          <w:sz w:val="16"/>
          <w:szCs w:val="16"/>
        </w:rPr>
        <w:t xml:space="preserve">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</w:t>
      </w:r>
      <w:r w:rsidRPr="00BD0674">
        <w:rPr>
          <w:i/>
          <w:color w:val="006EAB"/>
          <w:sz w:val="16"/>
          <w:szCs w:val="16"/>
          <w:lang w:val="en-US"/>
        </w:rPr>
        <w:t>one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of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the</w:t>
      </w:r>
      <w:r w:rsidRPr="00BD0674">
        <w:rPr>
          <w:i/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  <w:lang w:val="en-US"/>
        </w:rPr>
        <w:t>two</w:t>
      </w:r>
      <w:r w:rsidRPr="00BD0674">
        <w:rPr>
          <w:i/>
          <w:color w:val="006EAB"/>
          <w:sz w:val="16"/>
          <w:szCs w:val="16"/>
        </w:rPr>
        <w:t xml:space="preserve"> </w:t>
      </w:r>
      <w:r>
        <w:rPr>
          <w:i/>
          <w:color w:val="006EAB"/>
          <w:sz w:val="16"/>
          <w:szCs w:val="16"/>
        </w:rPr>
        <w:t xml:space="preserve">following </w:t>
      </w:r>
      <w:r w:rsidRPr="00BD0674">
        <w:rPr>
          <w:i/>
          <w:color w:val="006EAB"/>
          <w:sz w:val="16"/>
          <w:szCs w:val="16"/>
          <w:lang w:val="en-US"/>
        </w:rPr>
        <w:t>tables</w:t>
      </w:r>
      <w:r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3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6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</w:num>
  <w:num w:numId="12">
    <w:abstractNumId w:val="21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19"/>
  </w:num>
  <w:num w:numId="22">
    <w:abstractNumId w:val="7"/>
  </w:num>
  <w:num w:numId="23">
    <w:abstractNumId w:val="2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072E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6A47"/>
    <w:rsid w:val="002B772E"/>
    <w:rsid w:val="002C0C30"/>
    <w:rsid w:val="002C13D2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2BB8"/>
    <w:rsid w:val="002E3AFB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23CB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80477"/>
    <w:rsid w:val="003807B5"/>
    <w:rsid w:val="0038294D"/>
    <w:rsid w:val="003836CB"/>
    <w:rsid w:val="00383D09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C06EF"/>
    <w:rsid w:val="003C1349"/>
    <w:rsid w:val="003C3BA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38A3"/>
    <w:rsid w:val="00423BA0"/>
    <w:rsid w:val="0042692F"/>
    <w:rsid w:val="0043228F"/>
    <w:rsid w:val="004322C6"/>
    <w:rsid w:val="0043526E"/>
    <w:rsid w:val="004352B7"/>
    <w:rsid w:val="004359D5"/>
    <w:rsid w:val="004362B4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2B1B"/>
    <w:rsid w:val="005875DD"/>
    <w:rsid w:val="00593FB6"/>
    <w:rsid w:val="00597925"/>
    <w:rsid w:val="005A1167"/>
    <w:rsid w:val="005A2D69"/>
    <w:rsid w:val="005A3F59"/>
    <w:rsid w:val="005A519F"/>
    <w:rsid w:val="005A5502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77E"/>
    <w:rsid w:val="00663A48"/>
    <w:rsid w:val="0066546E"/>
    <w:rsid w:val="0067045E"/>
    <w:rsid w:val="00671469"/>
    <w:rsid w:val="006716D9"/>
    <w:rsid w:val="00671910"/>
    <w:rsid w:val="00672348"/>
    <w:rsid w:val="00674C46"/>
    <w:rsid w:val="00674E2A"/>
    <w:rsid w:val="006750DF"/>
    <w:rsid w:val="006759D6"/>
    <w:rsid w:val="00681D8A"/>
    <w:rsid w:val="00681FC8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3DB"/>
    <w:rsid w:val="00704909"/>
    <w:rsid w:val="0071024B"/>
    <w:rsid w:val="00710B22"/>
    <w:rsid w:val="00711132"/>
    <w:rsid w:val="00712114"/>
    <w:rsid w:val="00713B76"/>
    <w:rsid w:val="0072086D"/>
    <w:rsid w:val="00723809"/>
    <w:rsid w:val="00723E6E"/>
    <w:rsid w:val="00724681"/>
    <w:rsid w:val="00726998"/>
    <w:rsid w:val="007277E5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6022E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67B1"/>
    <w:rsid w:val="007773E5"/>
    <w:rsid w:val="007842E4"/>
    <w:rsid w:val="007854C4"/>
    <w:rsid w:val="00785895"/>
    <w:rsid w:val="00785A4C"/>
    <w:rsid w:val="0078665E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1DE"/>
    <w:rsid w:val="007E0E85"/>
    <w:rsid w:val="007E130D"/>
    <w:rsid w:val="007E21FD"/>
    <w:rsid w:val="007E68EE"/>
    <w:rsid w:val="007F017F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C09DC"/>
    <w:rsid w:val="008C138E"/>
    <w:rsid w:val="008C16F3"/>
    <w:rsid w:val="008C23B1"/>
    <w:rsid w:val="008C4042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7ABB"/>
    <w:rsid w:val="00961D3A"/>
    <w:rsid w:val="00962D51"/>
    <w:rsid w:val="00964EE0"/>
    <w:rsid w:val="00967651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18B2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D4F"/>
    <w:rsid w:val="009C62D4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114C9"/>
    <w:rsid w:val="00A122EB"/>
    <w:rsid w:val="00A128D3"/>
    <w:rsid w:val="00A13ABF"/>
    <w:rsid w:val="00A1473A"/>
    <w:rsid w:val="00A1503D"/>
    <w:rsid w:val="00A15728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3C20"/>
    <w:rsid w:val="00CF5D31"/>
    <w:rsid w:val="00CF6BDE"/>
    <w:rsid w:val="00CF730D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25B5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6BE"/>
    <w:rsid w:val="00DB71DD"/>
    <w:rsid w:val="00DB789F"/>
    <w:rsid w:val="00DC06F3"/>
    <w:rsid w:val="00DC2A03"/>
    <w:rsid w:val="00DC3729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F0CA9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E0E"/>
    <w:rsid w:val="00E9676F"/>
    <w:rsid w:val="00EA209C"/>
    <w:rsid w:val="00EA3554"/>
    <w:rsid w:val="00EA421F"/>
    <w:rsid w:val="00EB048E"/>
    <w:rsid w:val="00EB26B1"/>
    <w:rsid w:val="00EB388B"/>
    <w:rsid w:val="00EB3ABC"/>
    <w:rsid w:val="00EB4D67"/>
    <w:rsid w:val="00EB4F67"/>
    <w:rsid w:val="00EB59B6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487"/>
    <w:rsid w:val="00FB6519"/>
    <w:rsid w:val="00FB6641"/>
    <w:rsid w:val="00FC2698"/>
    <w:rsid w:val="00FC26DF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ss@dei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2A6AF9-A237-42EF-8E1B-47EF3DB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Τσιάκα Χρυσούλα</cp:lastModifiedBy>
  <cp:revision>2</cp:revision>
  <cp:lastPrinted>2020-05-04T15:00:00Z</cp:lastPrinted>
  <dcterms:created xsi:type="dcterms:W3CDTF">2021-11-26T09:46:00Z</dcterms:created>
  <dcterms:modified xsi:type="dcterms:W3CDTF">2021-11-26T09:46:00Z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</Properties>
</file>