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48E74" w14:textId="77777777" w:rsidR="00212D1A" w:rsidRDefault="00212D1A" w:rsidP="008D17FE">
      <w:pPr>
        <w:widowControl w:val="0"/>
        <w:autoSpaceDE w:val="0"/>
        <w:autoSpaceDN w:val="0"/>
        <w:adjustRightInd w:val="0"/>
        <w:spacing w:line="267" w:lineRule="exact"/>
        <w:ind w:right="36"/>
        <w:rPr>
          <w:rFonts w:ascii="Ping LCG Regular" w:hAnsi="Ping LCG Regular" w:cs="Arial"/>
          <w:spacing w:val="-14"/>
        </w:rPr>
      </w:pPr>
    </w:p>
    <w:p w14:paraId="1E5E6705" w14:textId="3E890D63" w:rsidR="008D17FE" w:rsidRPr="00342FBF" w:rsidRDefault="008D17FE" w:rsidP="008D17FE">
      <w:pPr>
        <w:widowControl w:val="0"/>
        <w:autoSpaceDE w:val="0"/>
        <w:autoSpaceDN w:val="0"/>
        <w:adjustRightInd w:val="0"/>
        <w:spacing w:line="267" w:lineRule="exact"/>
        <w:ind w:right="36"/>
        <w:rPr>
          <w:rFonts w:ascii="Ping LCG Regular" w:hAnsi="Ping LCG Regular" w:cs="Arial"/>
          <w:spacing w:val="-14"/>
        </w:rPr>
      </w:pPr>
      <w:r w:rsidRPr="006C5AEF">
        <w:rPr>
          <w:rFonts w:ascii="Ping LCG Regular" w:hAnsi="Ping LCG Regular" w:cs="Arial"/>
          <w:spacing w:val="-14"/>
        </w:rPr>
        <w:t xml:space="preserve">Athens, </w:t>
      </w:r>
      <w:r w:rsidR="009D20E8" w:rsidRPr="00BF00C3">
        <w:rPr>
          <w:rFonts w:ascii="Ping LCG Regular" w:hAnsi="Ping LCG Regular" w:cs="Arial"/>
          <w:spacing w:val="-14"/>
        </w:rPr>
        <w:t>February</w:t>
      </w:r>
      <w:r w:rsidR="00366340" w:rsidRPr="00BF00C3">
        <w:rPr>
          <w:rFonts w:ascii="Ping LCG Regular" w:hAnsi="Ping LCG Regular" w:cs="Arial"/>
          <w:spacing w:val="-14"/>
        </w:rPr>
        <w:t xml:space="preserve"> </w:t>
      </w:r>
      <w:r w:rsidR="000B76BE">
        <w:rPr>
          <w:rFonts w:ascii="Ping LCG Regular" w:hAnsi="Ping LCG Regular" w:cs="Arial"/>
          <w:spacing w:val="-14"/>
        </w:rPr>
        <w:t>22</w:t>
      </w:r>
      <w:bookmarkStart w:id="0" w:name="_GoBack"/>
      <w:bookmarkEnd w:id="0"/>
      <w:r w:rsidR="00C00587" w:rsidRPr="00BF00C3">
        <w:rPr>
          <w:rFonts w:ascii="Ping LCG Regular" w:hAnsi="Ping LCG Regular" w:cs="Arial"/>
          <w:spacing w:val="-14"/>
        </w:rPr>
        <w:t>,</w:t>
      </w:r>
      <w:r w:rsidRPr="00BF00C3">
        <w:rPr>
          <w:rFonts w:ascii="Ping LCG Regular" w:hAnsi="Ping LCG Regular" w:cs="Arial"/>
          <w:spacing w:val="-14"/>
        </w:rPr>
        <w:t xml:space="preserve"> </w:t>
      </w:r>
      <w:r w:rsidR="00366340" w:rsidRPr="00BF00C3">
        <w:rPr>
          <w:rFonts w:ascii="Ping LCG Regular" w:hAnsi="Ping LCG Regular" w:cs="Arial"/>
          <w:spacing w:val="-14"/>
        </w:rPr>
        <w:t>2021</w:t>
      </w:r>
    </w:p>
    <w:p w14:paraId="26A2E663" w14:textId="77777777" w:rsidR="008D17FE" w:rsidRPr="00CD3022" w:rsidRDefault="008D17FE" w:rsidP="008D17FE">
      <w:pPr>
        <w:widowControl w:val="0"/>
        <w:autoSpaceDE w:val="0"/>
        <w:autoSpaceDN w:val="0"/>
        <w:adjustRightInd w:val="0"/>
        <w:spacing w:line="267" w:lineRule="exact"/>
        <w:ind w:left="20" w:right="36" w:hanging="20"/>
        <w:jc w:val="center"/>
        <w:rPr>
          <w:rFonts w:ascii="Ping LCG Regular" w:hAnsi="Ping LCG Regular" w:cs="Arial"/>
          <w:spacing w:val="-14"/>
          <w:sz w:val="28"/>
          <w:szCs w:val="28"/>
        </w:rPr>
      </w:pPr>
    </w:p>
    <w:p w14:paraId="2950C311" w14:textId="77777777" w:rsidR="006B2DD9" w:rsidRDefault="006B2DD9" w:rsidP="008D17FE">
      <w:pPr>
        <w:widowControl w:val="0"/>
        <w:autoSpaceDE w:val="0"/>
        <w:autoSpaceDN w:val="0"/>
        <w:adjustRightInd w:val="0"/>
        <w:spacing w:line="267" w:lineRule="exact"/>
        <w:ind w:right="36"/>
        <w:jc w:val="center"/>
        <w:rPr>
          <w:rFonts w:ascii="Ping LCG Bold" w:hAnsi="Ping LCG Bold" w:cs="Arial"/>
          <w:spacing w:val="-14"/>
          <w:sz w:val="26"/>
          <w:szCs w:val="26"/>
        </w:rPr>
      </w:pPr>
    </w:p>
    <w:p w14:paraId="4279C5E5" w14:textId="77777777" w:rsidR="00D0204F" w:rsidRPr="00D0204F" w:rsidRDefault="00D0204F" w:rsidP="00D0204F">
      <w:pPr>
        <w:widowControl w:val="0"/>
        <w:autoSpaceDE w:val="0"/>
        <w:autoSpaceDN w:val="0"/>
        <w:adjustRightInd w:val="0"/>
        <w:spacing w:line="267" w:lineRule="exact"/>
        <w:ind w:right="36"/>
        <w:jc w:val="center"/>
        <w:rPr>
          <w:rFonts w:ascii="Ping LCG Bold" w:hAnsi="Ping LCG Bold" w:cs="Arial"/>
          <w:spacing w:val="-14"/>
        </w:rPr>
      </w:pPr>
    </w:p>
    <w:p w14:paraId="5A2A33B7" w14:textId="77777777" w:rsidR="006B14FE" w:rsidRPr="006B14FE" w:rsidRDefault="006B14FE" w:rsidP="006B14FE">
      <w:pPr>
        <w:autoSpaceDE w:val="0"/>
        <w:autoSpaceDN w:val="0"/>
        <w:spacing w:line="267" w:lineRule="exact"/>
        <w:ind w:right="36"/>
        <w:jc w:val="center"/>
        <w:rPr>
          <w:rFonts w:ascii="Ping LCG Bold" w:eastAsia="Calibri" w:hAnsi="Ping LCG Bold" w:cs="Calibri"/>
          <w:spacing w:val="-14"/>
          <w:sz w:val="26"/>
          <w:szCs w:val="26"/>
          <w:lang w:eastAsia="el-GR"/>
        </w:rPr>
      </w:pPr>
    </w:p>
    <w:p w14:paraId="200EDA49" w14:textId="654BD648" w:rsidR="006B14FE" w:rsidRPr="006B14FE" w:rsidRDefault="00F43DB7" w:rsidP="006B14FE">
      <w:pPr>
        <w:jc w:val="center"/>
        <w:rPr>
          <w:rFonts w:ascii="Ping LCG Regular" w:eastAsia="Calibri" w:hAnsi="Ping LCG Regular" w:cs="Times New Roman"/>
          <w:b/>
          <w:bCs/>
          <w:color w:val="14152D"/>
          <w:shd w:val="clear" w:color="auto" w:fill="FFFFFF"/>
        </w:rPr>
      </w:pPr>
      <w:r w:rsidRPr="00F43DB7">
        <w:rPr>
          <w:rFonts w:ascii="Ping LCG Regular" w:eastAsia="Calibri" w:hAnsi="Ping LCG Regular" w:cs="Times New Roman"/>
          <w:b/>
          <w:bCs/>
          <w:color w:val="14152D"/>
          <w:shd w:val="clear" w:color="auto" w:fill="FFFFFF"/>
        </w:rPr>
        <w:t>Announcement – Regulated information</w:t>
      </w:r>
    </w:p>
    <w:p w14:paraId="74D8DE16" w14:textId="77777777" w:rsidR="006B14FE" w:rsidRPr="006B14FE" w:rsidRDefault="006B14FE" w:rsidP="006B14FE">
      <w:pPr>
        <w:jc w:val="both"/>
        <w:rPr>
          <w:rFonts w:ascii="Ping LCG Regular" w:eastAsia="Calibri" w:hAnsi="Ping LCG Regular" w:cs="Times New Roman"/>
          <w:color w:val="14152D"/>
          <w:shd w:val="clear" w:color="auto" w:fill="FFFFFF"/>
        </w:rPr>
      </w:pPr>
    </w:p>
    <w:p w14:paraId="3ECCDB57" w14:textId="6BEEF71A" w:rsidR="006B14FE" w:rsidRPr="006B14FE" w:rsidRDefault="006B14FE" w:rsidP="006B14FE">
      <w:pPr>
        <w:jc w:val="both"/>
        <w:rPr>
          <w:rFonts w:ascii="Ping LCG Regular" w:eastAsia="Calibri" w:hAnsi="Ping LCG Regular" w:cs="Times New Roman"/>
          <w:color w:val="14152D"/>
          <w:shd w:val="clear" w:color="auto" w:fill="FFFFFF"/>
        </w:rPr>
      </w:pP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Public Power Corporation S.A. (“PPC” or the “Company”) announces that in the context of the announced Own Share Buyback Program, </w:t>
      </w:r>
      <w:r w:rsidRPr="00ED059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on </w:t>
      </w:r>
      <w:r w:rsidR="0047448A" w:rsidRPr="0047448A">
        <w:rPr>
          <w:rFonts w:ascii="Ping LCG Regular" w:eastAsia="Calibri" w:hAnsi="Ping LCG Regular" w:cs="Times New Roman"/>
          <w:color w:val="14152D"/>
          <w:shd w:val="clear" w:color="auto" w:fill="FFFFFF"/>
        </w:rPr>
        <w:t>21</w:t>
      </w:r>
      <w:r w:rsidR="007D6504" w:rsidRPr="00ED059E">
        <w:rPr>
          <w:rFonts w:ascii="Ping LCG Regular" w:eastAsia="Calibri" w:hAnsi="Ping LCG Regular" w:cs="Times New Roman"/>
          <w:color w:val="14152D"/>
          <w:shd w:val="clear" w:color="auto" w:fill="FFFFFF"/>
        </w:rPr>
        <w:t>.</w:t>
      </w:r>
      <w:r w:rsidR="007D6504" w:rsidRPr="007D6504">
        <w:rPr>
          <w:rFonts w:ascii="Ping LCG Regular" w:eastAsia="Calibri" w:hAnsi="Ping LCG Regular" w:cs="Times New Roman"/>
          <w:color w:val="14152D"/>
          <w:shd w:val="clear" w:color="auto" w:fill="FFFFFF"/>
        </w:rPr>
        <w:t>2.</w:t>
      </w: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2022, acquired through the Athens </w:t>
      </w:r>
      <w:r w:rsidR="00EA2611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Stock 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Exchange  </w:t>
      </w:r>
      <w:r w:rsidR="0047448A" w:rsidRPr="0047448A">
        <w:rPr>
          <w:rFonts w:ascii="Ping LCG Regular" w:hAnsi="Ping LCG Regular"/>
          <w:color w:val="14152D"/>
          <w:shd w:val="clear" w:color="auto" w:fill="FFFFFF"/>
          <w:lang w:eastAsia="el-GR"/>
        </w:rPr>
        <w:t>60,000</w:t>
      </w:r>
      <w:r w:rsidR="00445EDB">
        <w:rPr>
          <w:rFonts w:ascii="Ping LCG Regular" w:hAnsi="Ping LCG Regular"/>
          <w:color w:val="14152D"/>
          <w:shd w:val="clear" w:color="auto" w:fill="FFFFFF"/>
          <w:lang w:eastAsia="el-GR"/>
        </w:rPr>
        <w:t xml:space="preserve"> </w:t>
      </w:r>
      <w:r w:rsidR="00037234"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>own</w:t>
      </w:r>
      <w:r w:rsidR="00037234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 </w:t>
      </w: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shares at a weighted average price 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of € </w:t>
      </w:r>
      <w:r w:rsidR="00B870B2" w:rsidRPr="00B870B2">
        <w:rPr>
          <w:rFonts w:ascii="Ping LCG Regular" w:hAnsi="Ping LCG Regular"/>
          <w:color w:val="14152D"/>
          <w:shd w:val="clear" w:color="auto" w:fill="FFFFFF"/>
          <w:lang w:eastAsia="el-GR"/>
        </w:rPr>
        <w:t>8.</w:t>
      </w:r>
      <w:r w:rsidR="0047448A" w:rsidRPr="0047448A">
        <w:rPr>
          <w:rFonts w:ascii="Ping LCG Regular" w:hAnsi="Ping LCG Regular"/>
          <w:color w:val="14152D"/>
          <w:shd w:val="clear" w:color="auto" w:fill="FFFFFF"/>
          <w:lang w:eastAsia="el-GR"/>
        </w:rPr>
        <w:t>7314</w:t>
      </w:r>
      <w:r w:rsidR="00445EDB">
        <w:rPr>
          <w:rFonts w:ascii="Ping LCG Regular" w:hAnsi="Ping LCG Regular"/>
          <w:color w:val="14152D"/>
          <w:shd w:val="clear" w:color="auto" w:fill="FFFFFF"/>
          <w:lang w:eastAsia="el-GR"/>
        </w:rPr>
        <w:t xml:space="preserve"> 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>per</w:t>
      </w: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 share, of an aggregate value € </w:t>
      </w:r>
      <w:r w:rsidR="0047448A" w:rsidRPr="0047448A">
        <w:rPr>
          <w:rFonts w:ascii="Ping LCG Regular" w:hAnsi="Ping LCG Regular"/>
          <w:color w:val="14152D"/>
          <w:shd w:val="clear" w:color="auto" w:fill="FFFFFF"/>
          <w:lang w:eastAsia="el-GR"/>
        </w:rPr>
        <w:t>523,884</w:t>
      </w: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>. Such acquisitions have been effected through the Athens Exchange member PIRAEUS SECURITIES S.A..</w:t>
      </w:r>
    </w:p>
    <w:p w14:paraId="5407816E" w14:textId="1397A720" w:rsidR="006B14FE" w:rsidRPr="006B14FE" w:rsidRDefault="006B14FE" w:rsidP="006B14FE">
      <w:pPr>
        <w:jc w:val="both"/>
        <w:rPr>
          <w:rFonts w:ascii="Ping LCG Regular" w:eastAsia="Calibri" w:hAnsi="Ping LCG Regular" w:cs="Times New Roman"/>
          <w:color w:val="14152D"/>
          <w:shd w:val="clear" w:color="auto" w:fill="FFFFFF"/>
        </w:rPr>
      </w:pP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>Following the above mentioned purchases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, PPC holds </w:t>
      </w:r>
      <w:r w:rsidR="0047448A" w:rsidRPr="0047448A">
        <w:rPr>
          <w:rFonts w:ascii="Ping LCG Regular" w:hAnsi="Ping LCG Regular"/>
          <w:color w:val="14152D"/>
          <w:shd w:val="clear" w:color="auto" w:fill="FFFFFF"/>
          <w:lang w:eastAsia="el-GR"/>
        </w:rPr>
        <w:t>406,238</w:t>
      </w:r>
      <w:r w:rsidR="00B870B2" w:rsidRPr="00B870B2">
        <w:rPr>
          <w:rFonts w:ascii="Ping LCG Regular" w:hAnsi="Ping LCG Regular"/>
          <w:color w:val="14152D"/>
          <w:shd w:val="clear" w:color="auto" w:fill="FFFFFF"/>
          <w:lang w:eastAsia="el-GR"/>
        </w:rPr>
        <w:t xml:space="preserve"> 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>own shares,</w:t>
      </w: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 which 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correspond to </w:t>
      </w:r>
      <w:r w:rsidR="00B870B2" w:rsidRPr="00B870B2">
        <w:rPr>
          <w:rFonts w:ascii="Ping LCG Regular" w:hAnsi="Ping LCG Regular"/>
          <w:color w:val="14152D"/>
          <w:shd w:val="clear" w:color="auto" w:fill="FFFFFF"/>
          <w:lang w:eastAsia="el-GR"/>
        </w:rPr>
        <w:t>0.</w:t>
      </w:r>
      <w:r w:rsidR="0047448A" w:rsidRPr="0047448A">
        <w:rPr>
          <w:rFonts w:ascii="Ping LCG Regular" w:hAnsi="Ping LCG Regular"/>
          <w:color w:val="14152D"/>
          <w:shd w:val="clear" w:color="auto" w:fill="FFFFFF"/>
          <w:lang w:eastAsia="el-GR"/>
        </w:rPr>
        <w:t>1063</w:t>
      </w:r>
      <w:r w:rsidRPr="00AF09AC">
        <w:rPr>
          <w:rFonts w:ascii="Ping LCG Regular" w:eastAsia="Calibri" w:hAnsi="Ping LCG Regular" w:cs="Times New Roman"/>
          <w:color w:val="14152D"/>
          <w:shd w:val="clear" w:color="auto" w:fill="FFFFFF"/>
        </w:rPr>
        <w:t>% of the</w:t>
      </w:r>
      <w:r w:rsidRPr="006B14FE">
        <w:rPr>
          <w:rFonts w:ascii="Ping LCG Regular" w:eastAsia="Calibri" w:hAnsi="Ping LCG Regular" w:cs="Times New Roman"/>
          <w:color w:val="14152D"/>
          <w:shd w:val="clear" w:color="auto" w:fill="FFFFFF"/>
        </w:rPr>
        <w:t xml:space="preserve"> Company’s total shares. </w:t>
      </w:r>
    </w:p>
    <w:p w14:paraId="3EFD3739" w14:textId="77777777" w:rsidR="006B14FE" w:rsidRPr="006B14FE" w:rsidRDefault="006B14FE" w:rsidP="006B14FE">
      <w:pPr>
        <w:jc w:val="both"/>
        <w:rPr>
          <w:rFonts w:ascii="Ping LCG Regular" w:eastAsia="Calibri" w:hAnsi="Ping LCG Regular" w:cs="Times New Roman"/>
          <w:color w:val="14152D"/>
          <w:shd w:val="clear" w:color="auto" w:fill="FFFFFF"/>
        </w:rPr>
      </w:pPr>
    </w:p>
    <w:p w14:paraId="133C4C84" w14:textId="77777777" w:rsidR="006B14FE" w:rsidRPr="006B14FE" w:rsidRDefault="006B14FE" w:rsidP="006B14FE">
      <w:pPr>
        <w:jc w:val="both"/>
        <w:rPr>
          <w:rFonts w:ascii="Ping LCG Regular" w:eastAsia="Calibri" w:hAnsi="Ping LCG Regular" w:cs="Times New Roman"/>
          <w:i/>
          <w:iCs/>
          <w:color w:val="14152D"/>
          <w:sz w:val="20"/>
          <w:szCs w:val="20"/>
          <w:shd w:val="clear" w:color="auto" w:fill="FFFFFF"/>
        </w:rPr>
      </w:pPr>
      <w:r w:rsidRPr="006B14FE">
        <w:rPr>
          <w:rFonts w:ascii="Ping LCG Regular" w:eastAsia="Calibri" w:hAnsi="Ping LCG Regular" w:cs="Times New Roman"/>
          <w:i/>
          <w:iCs/>
          <w:color w:val="14152D"/>
          <w:sz w:val="20"/>
          <w:szCs w:val="20"/>
          <w:shd w:val="clear" w:color="auto" w:fill="FFFFFF"/>
        </w:rPr>
        <w:t>This announcement is issued in accordance with (EU) Regulation No 596/2014 of the European Parliament and of the Council dated 16.4.2014 and the  Commission Delegated Regulation (EU) 2016/1052 dated 8.3.2016.</w:t>
      </w:r>
    </w:p>
    <w:p w14:paraId="3E45C506" w14:textId="77777777" w:rsidR="00212191" w:rsidRPr="00417D7F" w:rsidRDefault="00212191" w:rsidP="00BC663C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</w:p>
    <w:p w14:paraId="38135492" w14:textId="77777777" w:rsidR="00212191" w:rsidRPr="00417D7F" w:rsidRDefault="00212191" w:rsidP="00BC663C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</w:p>
    <w:p w14:paraId="3C7C3B65" w14:textId="537B30FE" w:rsidR="00BC663C" w:rsidRPr="00FE666C" w:rsidRDefault="00BC663C" w:rsidP="00BC663C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  <w:r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For further information please contact:</w:t>
      </w:r>
    </w:p>
    <w:p w14:paraId="04FF5595" w14:textId="77777777" w:rsidR="00BC663C" w:rsidRPr="00FE666C" w:rsidRDefault="00BC663C" w:rsidP="00BC663C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  <w:r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Public Power Corporation S.A.</w:t>
      </w:r>
    </w:p>
    <w:p w14:paraId="5282D7F8" w14:textId="75AC3675" w:rsidR="00BC663C" w:rsidRPr="00FE666C" w:rsidRDefault="00BC663C" w:rsidP="00BC663C">
      <w:pPr>
        <w:pStyle w:val="NormalWeb"/>
        <w:spacing w:before="0" w:beforeAutospacing="0" w:after="0" w:afterAutospacing="0"/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</w:pPr>
      <w:r w:rsidRPr="00FE666C"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  <w:t xml:space="preserve">Investor Relations, e-mail: </w:t>
      </w:r>
      <w:hyperlink r:id="rId8" w:history="1">
        <w:r w:rsidR="00353BE5" w:rsidRPr="00FE666C">
          <w:rPr>
            <w:rStyle w:val="Hyperlink"/>
            <w:rFonts w:ascii="Ping LCG Regular" w:eastAsiaTheme="minorHAnsi" w:hAnsi="Ping LCG Regular" w:cs="Arial"/>
            <w:spacing w:val="-14"/>
            <w:sz w:val="22"/>
            <w:szCs w:val="22"/>
            <w:lang w:val="en-US" w:eastAsia="en-US"/>
          </w:rPr>
          <w:t>ir@dei.gr</w:t>
        </w:r>
      </w:hyperlink>
      <w:r w:rsidR="00353BE5" w:rsidRPr="00FE666C"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  <w:t xml:space="preserve">  </w:t>
      </w:r>
    </w:p>
    <w:p w14:paraId="00A430B2" w14:textId="77777777" w:rsidR="00BC663C" w:rsidRPr="00FE666C" w:rsidRDefault="00BC663C" w:rsidP="00BC663C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  <w:r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Ioannis Stefos, IR Director</w:t>
      </w:r>
    </w:p>
    <w:p w14:paraId="35ECC9D9" w14:textId="77777777" w:rsidR="00BC663C" w:rsidRPr="00FE666C" w:rsidRDefault="00BC663C" w:rsidP="00BC663C">
      <w:pPr>
        <w:pStyle w:val="NormalWeb"/>
        <w:spacing w:before="0" w:beforeAutospacing="0" w:after="0" w:afterAutospacing="0"/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</w:pPr>
      <w:r w:rsidRPr="00FE666C"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  <w:t>Telephone : + 30 210 529 2153</w:t>
      </w:r>
    </w:p>
    <w:p w14:paraId="522FD9C9" w14:textId="7FF6872D" w:rsidR="00BC663C" w:rsidRPr="00FE666C" w:rsidRDefault="00BC663C" w:rsidP="00BC663C">
      <w:pPr>
        <w:pStyle w:val="NormalWeb"/>
        <w:spacing w:before="0" w:beforeAutospacing="0" w:after="0" w:afterAutospacing="0"/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</w:pPr>
      <w:r w:rsidRPr="00FE666C"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  <w:t xml:space="preserve">e-mail: </w:t>
      </w:r>
      <w:hyperlink r:id="rId9" w:history="1">
        <w:r w:rsidR="00353BE5" w:rsidRPr="00FE666C">
          <w:rPr>
            <w:rStyle w:val="Hyperlink"/>
            <w:rFonts w:ascii="Ping LCG Regular" w:eastAsiaTheme="minorHAnsi" w:hAnsi="Ping LCG Regular" w:cs="Arial"/>
            <w:spacing w:val="-14"/>
            <w:sz w:val="22"/>
            <w:szCs w:val="22"/>
            <w:lang w:val="en-US" w:eastAsia="en-US"/>
          </w:rPr>
          <w:t>i.stefos@dei.gr</w:t>
        </w:r>
      </w:hyperlink>
      <w:r w:rsidR="00353BE5" w:rsidRPr="00FE666C">
        <w:rPr>
          <w:rFonts w:ascii="Ping LCG Regular" w:eastAsiaTheme="minorHAnsi" w:hAnsi="Ping LCG Regular" w:cs="Arial"/>
          <w:spacing w:val="-14"/>
          <w:sz w:val="22"/>
          <w:szCs w:val="22"/>
          <w:lang w:val="en-US" w:eastAsia="en-US"/>
        </w:rPr>
        <w:t xml:space="preserve"> </w:t>
      </w:r>
    </w:p>
    <w:p w14:paraId="27B19743" w14:textId="10C2E77D" w:rsidR="00A110FA" w:rsidRPr="00FE666C" w:rsidRDefault="00A110FA" w:rsidP="00BC663C">
      <w:pPr>
        <w:autoSpaceDE w:val="0"/>
        <w:autoSpaceDN w:val="0"/>
        <w:adjustRightInd w:val="0"/>
        <w:ind w:left="284" w:hanging="284"/>
        <w:rPr>
          <w:rFonts w:ascii="Ping LCG Bold" w:hAnsi="Ping LCG Bold" w:cs="Arial"/>
          <w:spacing w:val="-14"/>
          <w:sz w:val="22"/>
          <w:szCs w:val="22"/>
        </w:rPr>
      </w:pPr>
    </w:p>
    <w:p w14:paraId="5D072D7A" w14:textId="2F2496D7" w:rsidR="00CA5A2B" w:rsidRPr="00FE666C" w:rsidRDefault="00D07AE7" w:rsidP="00353BE5">
      <w:pPr>
        <w:pStyle w:val="BodyText"/>
        <w:jc w:val="left"/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</w:pPr>
      <w:r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 xml:space="preserve">The announcement </w:t>
      </w:r>
      <w:r w:rsidR="00333602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may be accessed on the website of Public Power Corporation S</w:t>
      </w:r>
      <w:r w:rsidR="00A7188A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.</w:t>
      </w:r>
      <w:r w:rsidR="00333602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A</w:t>
      </w:r>
      <w:r w:rsidR="00A7188A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.</w:t>
      </w:r>
      <w:r w:rsidR="00333602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 xml:space="preserve"> </w:t>
      </w:r>
      <w:hyperlink r:id="rId10" w:history="1">
        <w:r w:rsidR="00A4037A" w:rsidRPr="00FE666C">
          <w:rPr>
            <w:rStyle w:val="Hyperlink"/>
            <w:rFonts w:ascii="Ping LCG Regular" w:eastAsiaTheme="minorHAnsi" w:hAnsi="Ping LCG Regular" w:cs="Arial"/>
            <w:bCs w:val="0"/>
            <w:spacing w:val="-14"/>
            <w:sz w:val="22"/>
            <w:szCs w:val="22"/>
            <w:lang w:val="en-US"/>
          </w:rPr>
          <w:t>www.dei.gr</w:t>
        </w:r>
      </w:hyperlink>
      <w:r w:rsidR="00A4037A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 xml:space="preserve"> </w:t>
      </w:r>
      <w:r w:rsidR="008A5284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at the “Investor</w:t>
      </w:r>
      <w:r w:rsidR="0058492D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>s</w:t>
      </w:r>
      <w:r w:rsidR="008A5284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 xml:space="preserve"> Relations” section.</w:t>
      </w:r>
      <w:r w:rsidR="001E5BF1" w:rsidRPr="00FE666C">
        <w:rPr>
          <w:rFonts w:ascii="Ping LCG Regular" w:eastAsiaTheme="minorHAnsi" w:hAnsi="Ping LCG Regular" w:cs="Arial"/>
          <w:bCs w:val="0"/>
          <w:color w:val="000000"/>
          <w:spacing w:val="-14"/>
          <w:sz w:val="22"/>
          <w:szCs w:val="22"/>
          <w:lang w:val="en-US"/>
        </w:rPr>
        <w:t xml:space="preserve"> </w:t>
      </w:r>
    </w:p>
    <w:sectPr w:rsidR="00CA5A2B" w:rsidRPr="00FE666C" w:rsidSect="00126DE8">
      <w:headerReference w:type="default" r:id="rId11"/>
      <w:pgSz w:w="11900" w:h="16840"/>
      <w:pgMar w:top="1440" w:right="1268" w:bottom="1440" w:left="1440" w:header="98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0AAA" w14:textId="77777777" w:rsidR="003E15FA" w:rsidRDefault="003E15FA" w:rsidP="000E10BE">
      <w:r>
        <w:separator/>
      </w:r>
    </w:p>
  </w:endnote>
  <w:endnote w:type="continuationSeparator" w:id="0">
    <w:p w14:paraId="5CE605AF" w14:textId="77777777" w:rsidR="003E15FA" w:rsidRDefault="003E15FA" w:rsidP="000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0CCB" w14:textId="77777777" w:rsidR="003E15FA" w:rsidRDefault="003E15FA" w:rsidP="000E10BE">
      <w:r>
        <w:separator/>
      </w:r>
    </w:p>
  </w:footnote>
  <w:footnote w:type="continuationSeparator" w:id="0">
    <w:p w14:paraId="24B99035" w14:textId="77777777" w:rsidR="003E15FA" w:rsidRDefault="003E15FA" w:rsidP="000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3DFD" w14:textId="137C06EE" w:rsidR="009F4EC2" w:rsidRDefault="00C44DFB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A57252" wp14:editId="49BA4DFD">
          <wp:simplePos x="0" y="0"/>
          <wp:positionH relativeFrom="page">
            <wp:posOffset>4829175</wp:posOffset>
          </wp:positionH>
          <wp:positionV relativeFrom="page">
            <wp:align>top</wp:align>
          </wp:positionV>
          <wp:extent cx="2556595" cy="1609200"/>
          <wp:effectExtent l="0" t="0" r="0" b="0"/>
          <wp:wrapNone/>
          <wp:docPr id="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C-out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595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EC2" w:rsidRPr="00DC1F30">
      <w:rPr>
        <w:sz w:val="18"/>
        <w:szCs w:val="18"/>
      </w:rPr>
      <w:t>Investor</w:t>
    </w:r>
    <w:r w:rsidR="009F4EC2">
      <w:rPr>
        <w:sz w:val="18"/>
        <w:szCs w:val="18"/>
      </w:rPr>
      <w:br/>
    </w:r>
    <w:r w:rsidR="009F4EC2" w:rsidRPr="00DC1F30">
      <w:rPr>
        <w:sz w:val="18"/>
        <w:szCs w:val="18"/>
      </w:rPr>
      <w:t>Relations</w:t>
    </w:r>
    <w:r w:rsidR="009F4EC2">
      <w:rPr>
        <w:sz w:val="18"/>
        <w:szCs w:val="18"/>
      </w:rPr>
      <w:br/>
    </w:r>
    <w:r w:rsidR="009F4EC2" w:rsidRPr="00DC1F30">
      <w:rPr>
        <w:sz w:val="18"/>
        <w:szCs w:val="18"/>
      </w:rPr>
      <w:t>Department</w:t>
    </w:r>
  </w:p>
  <w:p w14:paraId="03EE564A" w14:textId="17C8F56D" w:rsidR="009F4EC2" w:rsidRPr="00BB4345" w:rsidRDefault="009F4EC2">
    <w:pPr>
      <w:pStyle w:val="Header"/>
      <w:rPr>
        <w:sz w:val="18"/>
        <w:szCs w:val="18"/>
      </w:rPr>
    </w:pPr>
  </w:p>
  <w:p w14:paraId="008678F8" w14:textId="141D044F" w:rsidR="009F4EC2" w:rsidRDefault="009F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117"/>
    <w:multiLevelType w:val="hybridMultilevel"/>
    <w:tmpl w:val="9098C49E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F235EC"/>
    <w:multiLevelType w:val="hybridMultilevel"/>
    <w:tmpl w:val="A06CBE2E"/>
    <w:lvl w:ilvl="0" w:tplc="BFE8D432">
      <w:start w:val="1"/>
      <w:numFmt w:val="bullet"/>
      <w:lvlText w:val="-"/>
      <w:lvlJc w:val="left"/>
      <w:pPr>
        <w:ind w:left="447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0E017D32"/>
    <w:multiLevelType w:val="hybridMultilevel"/>
    <w:tmpl w:val="8200E034"/>
    <w:lvl w:ilvl="0" w:tplc="BFE8D4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51C86"/>
    <w:multiLevelType w:val="hybridMultilevel"/>
    <w:tmpl w:val="13B43CA6"/>
    <w:lvl w:ilvl="0" w:tplc="1FFE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27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C6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C4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8E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E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E9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A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193B38"/>
    <w:multiLevelType w:val="hybridMultilevel"/>
    <w:tmpl w:val="3C563A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41327"/>
    <w:multiLevelType w:val="hybridMultilevel"/>
    <w:tmpl w:val="E9E0C31C"/>
    <w:lvl w:ilvl="0" w:tplc="4F0A8A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239F5"/>
    <w:multiLevelType w:val="hybridMultilevel"/>
    <w:tmpl w:val="4CDC242C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485"/>
    <w:multiLevelType w:val="hybridMultilevel"/>
    <w:tmpl w:val="C94A9FF4"/>
    <w:lvl w:ilvl="0" w:tplc="BFE8D432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-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</w:abstractNum>
  <w:abstractNum w:abstractNumId="8" w15:restartNumberingAfterBreak="0">
    <w:nsid w:val="338A6858"/>
    <w:multiLevelType w:val="hybridMultilevel"/>
    <w:tmpl w:val="6964A942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1665D"/>
    <w:multiLevelType w:val="hybridMultilevel"/>
    <w:tmpl w:val="8794BCC4"/>
    <w:lvl w:ilvl="0" w:tplc="BFE8D4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856C34"/>
    <w:multiLevelType w:val="hybridMultilevel"/>
    <w:tmpl w:val="AC54C398"/>
    <w:lvl w:ilvl="0" w:tplc="8564E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65C4"/>
    <w:multiLevelType w:val="hybridMultilevel"/>
    <w:tmpl w:val="26423D6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7DD"/>
    <w:multiLevelType w:val="hybridMultilevel"/>
    <w:tmpl w:val="132E2668"/>
    <w:lvl w:ilvl="0" w:tplc="8940BB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244A1"/>
    <w:multiLevelType w:val="hybridMultilevel"/>
    <w:tmpl w:val="08807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0D0"/>
    <w:multiLevelType w:val="hybridMultilevel"/>
    <w:tmpl w:val="F524F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756A"/>
    <w:multiLevelType w:val="hybridMultilevel"/>
    <w:tmpl w:val="5D1EB3A2"/>
    <w:lvl w:ilvl="0" w:tplc="CB68E564">
      <w:numFmt w:val="bullet"/>
      <w:lvlText w:val="-"/>
      <w:lvlJc w:val="left"/>
      <w:pPr>
        <w:ind w:left="6597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D07343"/>
    <w:multiLevelType w:val="hybridMultilevel"/>
    <w:tmpl w:val="88E2A724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F4DDF"/>
    <w:multiLevelType w:val="hybridMultilevel"/>
    <w:tmpl w:val="97AAC41C"/>
    <w:lvl w:ilvl="0" w:tplc="FDCC3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97630"/>
    <w:multiLevelType w:val="hybridMultilevel"/>
    <w:tmpl w:val="E63AE6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8B4E4C"/>
    <w:multiLevelType w:val="hybridMultilevel"/>
    <w:tmpl w:val="6F3E20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A80DC8"/>
    <w:multiLevelType w:val="hybridMultilevel"/>
    <w:tmpl w:val="77580C84"/>
    <w:lvl w:ilvl="0" w:tplc="9EDCC9D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809C3"/>
    <w:multiLevelType w:val="hybridMultilevel"/>
    <w:tmpl w:val="D834C11E"/>
    <w:lvl w:ilvl="0" w:tplc="1E620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93AFA"/>
    <w:multiLevelType w:val="hybridMultilevel"/>
    <w:tmpl w:val="52E45072"/>
    <w:lvl w:ilvl="0" w:tplc="5338159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F03A8"/>
    <w:multiLevelType w:val="hybridMultilevel"/>
    <w:tmpl w:val="F77E4746"/>
    <w:lvl w:ilvl="0" w:tplc="BFE8D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23C9F"/>
    <w:multiLevelType w:val="hybridMultilevel"/>
    <w:tmpl w:val="DB481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"/>
  </w:num>
  <w:num w:numId="5">
    <w:abstractNumId w:val="7"/>
  </w:num>
  <w:num w:numId="6">
    <w:abstractNumId w:val="0"/>
  </w:num>
  <w:num w:numId="7">
    <w:abstractNumId w:val="23"/>
  </w:num>
  <w:num w:numId="8">
    <w:abstractNumId w:val="11"/>
  </w:num>
  <w:num w:numId="9">
    <w:abstractNumId w:val="9"/>
  </w:num>
  <w:num w:numId="10">
    <w:abstractNumId w:val="12"/>
  </w:num>
  <w:num w:numId="11">
    <w:abstractNumId w:val="20"/>
  </w:num>
  <w:num w:numId="12">
    <w:abstractNumId w:val="8"/>
  </w:num>
  <w:num w:numId="13">
    <w:abstractNumId w:val="16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21"/>
  </w:num>
  <w:num w:numId="20">
    <w:abstractNumId w:val="15"/>
  </w:num>
  <w:num w:numId="21">
    <w:abstractNumId w:val="22"/>
  </w:num>
  <w:num w:numId="22">
    <w:abstractNumId w:val="2"/>
  </w:num>
  <w:num w:numId="23">
    <w:abstractNumId w:val="24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E"/>
    <w:rsid w:val="000044D7"/>
    <w:rsid w:val="00013539"/>
    <w:rsid w:val="00013BD9"/>
    <w:rsid w:val="000147F7"/>
    <w:rsid w:val="000151BA"/>
    <w:rsid w:val="00017502"/>
    <w:rsid w:val="000315E1"/>
    <w:rsid w:val="00034311"/>
    <w:rsid w:val="00034E39"/>
    <w:rsid w:val="00035227"/>
    <w:rsid w:val="00036820"/>
    <w:rsid w:val="00037234"/>
    <w:rsid w:val="00044963"/>
    <w:rsid w:val="00045047"/>
    <w:rsid w:val="00054912"/>
    <w:rsid w:val="00066ED7"/>
    <w:rsid w:val="0007132B"/>
    <w:rsid w:val="00077103"/>
    <w:rsid w:val="000807E4"/>
    <w:rsid w:val="00090EC3"/>
    <w:rsid w:val="00091012"/>
    <w:rsid w:val="000937E1"/>
    <w:rsid w:val="00094581"/>
    <w:rsid w:val="000960EF"/>
    <w:rsid w:val="000A0820"/>
    <w:rsid w:val="000A4284"/>
    <w:rsid w:val="000B0A9B"/>
    <w:rsid w:val="000B15FB"/>
    <w:rsid w:val="000B76BE"/>
    <w:rsid w:val="000C02F9"/>
    <w:rsid w:val="000C2F40"/>
    <w:rsid w:val="000C4904"/>
    <w:rsid w:val="000C74B4"/>
    <w:rsid w:val="000D147E"/>
    <w:rsid w:val="000D7B70"/>
    <w:rsid w:val="000E10BE"/>
    <w:rsid w:val="000E1EC3"/>
    <w:rsid w:val="000E752B"/>
    <w:rsid w:val="000F2CDA"/>
    <w:rsid w:val="000F3718"/>
    <w:rsid w:val="00105AE1"/>
    <w:rsid w:val="001069F6"/>
    <w:rsid w:val="00113D7A"/>
    <w:rsid w:val="00117F64"/>
    <w:rsid w:val="00123512"/>
    <w:rsid w:val="001251CA"/>
    <w:rsid w:val="0012682C"/>
    <w:rsid w:val="00126DE8"/>
    <w:rsid w:val="00127151"/>
    <w:rsid w:val="00130F46"/>
    <w:rsid w:val="0013115B"/>
    <w:rsid w:val="00131EE2"/>
    <w:rsid w:val="0013643F"/>
    <w:rsid w:val="00136DE5"/>
    <w:rsid w:val="001436C6"/>
    <w:rsid w:val="00145571"/>
    <w:rsid w:val="00151B05"/>
    <w:rsid w:val="00152E8B"/>
    <w:rsid w:val="00156472"/>
    <w:rsid w:val="0015780A"/>
    <w:rsid w:val="001614AB"/>
    <w:rsid w:val="00166492"/>
    <w:rsid w:val="00170CD3"/>
    <w:rsid w:val="001836D1"/>
    <w:rsid w:val="00185565"/>
    <w:rsid w:val="0018767B"/>
    <w:rsid w:val="00191D18"/>
    <w:rsid w:val="0019492A"/>
    <w:rsid w:val="001971C0"/>
    <w:rsid w:val="00197E46"/>
    <w:rsid w:val="001A5F58"/>
    <w:rsid w:val="001A6F45"/>
    <w:rsid w:val="001A7E93"/>
    <w:rsid w:val="001B19F6"/>
    <w:rsid w:val="001B1BAC"/>
    <w:rsid w:val="001B2ACF"/>
    <w:rsid w:val="001B36C6"/>
    <w:rsid w:val="001B5B17"/>
    <w:rsid w:val="001B5CAF"/>
    <w:rsid w:val="001B7C24"/>
    <w:rsid w:val="001C3371"/>
    <w:rsid w:val="001C5841"/>
    <w:rsid w:val="001C693A"/>
    <w:rsid w:val="001C6AB8"/>
    <w:rsid w:val="001D49E5"/>
    <w:rsid w:val="001D4C42"/>
    <w:rsid w:val="001D6269"/>
    <w:rsid w:val="001E136F"/>
    <w:rsid w:val="001E2064"/>
    <w:rsid w:val="001E2438"/>
    <w:rsid w:val="001E3908"/>
    <w:rsid w:val="001E3D48"/>
    <w:rsid w:val="001E5BF1"/>
    <w:rsid w:val="001F5724"/>
    <w:rsid w:val="0020632F"/>
    <w:rsid w:val="00207D01"/>
    <w:rsid w:val="00212191"/>
    <w:rsid w:val="00212D1A"/>
    <w:rsid w:val="00213331"/>
    <w:rsid w:val="00214F5D"/>
    <w:rsid w:val="002163F0"/>
    <w:rsid w:val="00217994"/>
    <w:rsid w:val="00220050"/>
    <w:rsid w:val="00221562"/>
    <w:rsid w:val="00224790"/>
    <w:rsid w:val="002248E2"/>
    <w:rsid w:val="00225A0D"/>
    <w:rsid w:val="002308C2"/>
    <w:rsid w:val="00234E3D"/>
    <w:rsid w:val="002367C7"/>
    <w:rsid w:val="0023792D"/>
    <w:rsid w:val="00240F9D"/>
    <w:rsid w:val="002426DC"/>
    <w:rsid w:val="00242A95"/>
    <w:rsid w:val="00246764"/>
    <w:rsid w:val="00255549"/>
    <w:rsid w:val="00260228"/>
    <w:rsid w:val="00265914"/>
    <w:rsid w:val="00267B6B"/>
    <w:rsid w:val="0027323C"/>
    <w:rsid w:val="00276E91"/>
    <w:rsid w:val="00280D33"/>
    <w:rsid w:val="00285BF6"/>
    <w:rsid w:val="0028629B"/>
    <w:rsid w:val="00290A98"/>
    <w:rsid w:val="00291582"/>
    <w:rsid w:val="002924EF"/>
    <w:rsid w:val="0029301B"/>
    <w:rsid w:val="002A1DDC"/>
    <w:rsid w:val="002A2545"/>
    <w:rsid w:val="002A6407"/>
    <w:rsid w:val="002A7BBA"/>
    <w:rsid w:val="002C692A"/>
    <w:rsid w:val="002D4E75"/>
    <w:rsid w:val="002E2634"/>
    <w:rsid w:val="002E6955"/>
    <w:rsid w:val="002E7AC9"/>
    <w:rsid w:val="002E7E39"/>
    <w:rsid w:val="002F466E"/>
    <w:rsid w:val="002F4B58"/>
    <w:rsid w:val="002F63CB"/>
    <w:rsid w:val="00302743"/>
    <w:rsid w:val="003031B0"/>
    <w:rsid w:val="00307B70"/>
    <w:rsid w:val="00311027"/>
    <w:rsid w:val="00311265"/>
    <w:rsid w:val="00311D26"/>
    <w:rsid w:val="00313FFB"/>
    <w:rsid w:val="00321B08"/>
    <w:rsid w:val="00322809"/>
    <w:rsid w:val="0032527A"/>
    <w:rsid w:val="00326508"/>
    <w:rsid w:val="003270CD"/>
    <w:rsid w:val="00331AA2"/>
    <w:rsid w:val="00333602"/>
    <w:rsid w:val="003344E0"/>
    <w:rsid w:val="00335B36"/>
    <w:rsid w:val="003361F0"/>
    <w:rsid w:val="0034028A"/>
    <w:rsid w:val="003428E2"/>
    <w:rsid w:val="00342FBF"/>
    <w:rsid w:val="00351B86"/>
    <w:rsid w:val="00353BE5"/>
    <w:rsid w:val="0035489E"/>
    <w:rsid w:val="00357F26"/>
    <w:rsid w:val="00360972"/>
    <w:rsid w:val="00361C79"/>
    <w:rsid w:val="00362C6E"/>
    <w:rsid w:val="003658E7"/>
    <w:rsid w:val="00366340"/>
    <w:rsid w:val="003678EB"/>
    <w:rsid w:val="00370521"/>
    <w:rsid w:val="0037067F"/>
    <w:rsid w:val="003740BB"/>
    <w:rsid w:val="00375B8A"/>
    <w:rsid w:val="00380799"/>
    <w:rsid w:val="003811E9"/>
    <w:rsid w:val="0038565E"/>
    <w:rsid w:val="00386542"/>
    <w:rsid w:val="00390525"/>
    <w:rsid w:val="003A16DD"/>
    <w:rsid w:val="003A36D4"/>
    <w:rsid w:val="003A3C9F"/>
    <w:rsid w:val="003A58C6"/>
    <w:rsid w:val="003B2468"/>
    <w:rsid w:val="003B4128"/>
    <w:rsid w:val="003B71A4"/>
    <w:rsid w:val="003C6E11"/>
    <w:rsid w:val="003D202A"/>
    <w:rsid w:val="003D3CE4"/>
    <w:rsid w:val="003D7927"/>
    <w:rsid w:val="003E15FA"/>
    <w:rsid w:val="003E18EE"/>
    <w:rsid w:val="003E3729"/>
    <w:rsid w:val="003E5C8B"/>
    <w:rsid w:val="003F4FE6"/>
    <w:rsid w:val="00403803"/>
    <w:rsid w:val="00406A92"/>
    <w:rsid w:val="00407E92"/>
    <w:rsid w:val="0041211D"/>
    <w:rsid w:val="00417D7F"/>
    <w:rsid w:val="004304C7"/>
    <w:rsid w:val="00435528"/>
    <w:rsid w:val="00436791"/>
    <w:rsid w:val="00437C5D"/>
    <w:rsid w:val="004445AC"/>
    <w:rsid w:val="00445EDB"/>
    <w:rsid w:val="0045309E"/>
    <w:rsid w:val="004531E0"/>
    <w:rsid w:val="0045443B"/>
    <w:rsid w:val="00462A16"/>
    <w:rsid w:val="0046421C"/>
    <w:rsid w:val="004655CD"/>
    <w:rsid w:val="00465BE8"/>
    <w:rsid w:val="00465C69"/>
    <w:rsid w:val="0047448A"/>
    <w:rsid w:val="004748EA"/>
    <w:rsid w:val="00481C7F"/>
    <w:rsid w:val="00484288"/>
    <w:rsid w:val="00484CF6"/>
    <w:rsid w:val="004862D2"/>
    <w:rsid w:val="00490CCE"/>
    <w:rsid w:val="00492E64"/>
    <w:rsid w:val="00493D86"/>
    <w:rsid w:val="004A2A5F"/>
    <w:rsid w:val="004A468D"/>
    <w:rsid w:val="004A57DE"/>
    <w:rsid w:val="004A657E"/>
    <w:rsid w:val="004B096C"/>
    <w:rsid w:val="004B254B"/>
    <w:rsid w:val="004B412F"/>
    <w:rsid w:val="004C58C9"/>
    <w:rsid w:val="004C60C9"/>
    <w:rsid w:val="004D4CFB"/>
    <w:rsid w:val="004E7933"/>
    <w:rsid w:val="004F47A3"/>
    <w:rsid w:val="00507948"/>
    <w:rsid w:val="00510227"/>
    <w:rsid w:val="0051673A"/>
    <w:rsid w:val="005228B7"/>
    <w:rsid w:val="00523E02"/>
    <w:rsid w:val="00524056"/>
    <w:rsid w:val="00535468"/>
    <w:rsid w:val="005363DB"/>
    <w:rsid w:val="005364E3"/>
    <w:rsid w:val="0054017E"/>
    <w:rsid w:val="00540AE0"/>
    <w:rsid w:val="00557077"/>
    <w:rsid w:val="00557258"/>
    <w:rsid w:val="005655BE"/>
    <w:rsid w:val="0057126C"/>
    <w:rsid w:val="00572573"/>
    <w:rsid w:val="005757B6"/>
    <w:rsid w:val="005763CD"/>
    <w:rsid w:val="00577504"/>
    <w:rsid w:val="005847CD"/>
    <w:rsid w:val="0058492D"/>
    <w:rsid w:val="00590055"/>
    <w:rsid w:val="00591994"/>
    <w:rsid w:val="00591A09"/>
    <w:rsid w:val="0059460B"/>
    <w:rsid w:val="005A45B3"/>
    <w:rsid w:val="005B03AB"/>
    <w:rsid w:val="005B43F5"/>
    <w:rsid w:val="005B55B2"/>
    <w:rsid w:val="005B5EAB"/>
    <w:rsid w:val="005C054E"/>
    <w:rsid w:val="005C170F"/>
    <w:rsid w:val="005C19C9"/>
    <w:rsid w:val="005C393F"/>
    <w:rsid w:val="005C526A"/>
    <w:rsid w:val="005D0BE0"/>
    <w:rsid w:val="005D2445"/>
    <w:rsid w:val="005D248C"/>
    <w:rsid w:val="005D66E5"/>
    <w:rsid w:val="005E132D"/>
    <w:rsid w:val="005E5342"/>
    <w:rsid w:val="005E7297"/>
    <w:rsid w:val="005F1445"/>
    <w:rsid w:val="005F44B1"/>
    <w:rsid w:val="006006B5"/>
    <w:rsid w:val="00604E89"/>
    <w:rsid w:val="0060532E"/>
    <w:rsid w:val="00612538"/>
    <w:rsid w:val="00612D39"/>
    <w:rsid w:val="006210D1"/>
    <w:rsid w:val="00621AEC"/>
    <w:rsid w:val="00622AC1"/>
    <w:rsid w:val="006258E6"/>
    <w:rsid w:val="00632B87"/>
    <w:rsid w:val="00632EB6"/>
    <w:rsid w:val="00645155"/>
    <w:rsid w:val="00653A44"/>
    <w:rsid w:val="00654B4A"/>
    <w:rsid w:val="006551C5"/>
    <w:rsid w:val="0066111C"/>
    <w:rsid w:val="00667DE7"/>
    <w:rsid w:val="00672CCC"/>
    <w:rsid w:val="00674176"/>
    <w:rsid w:val="006836C1"/>
    <w:rsid w:val="0068704A"/>
    <w:rsid w:val="006874C8"/>
    <w:rsid w:val="006876D9"/>
    <w:rsid w:val="006902B9"/>
    <w:rsid w:val="00692459"/>
    <w:rsid w:val="006A2851"/>
    <w:rsid w:val="006A2FB7"/>
    <w:rsid w:val="006A762A"/>
    <w:rsid w:val="006B04F3"/>
    <w:rsid w:val="006B10CE"/>
    <w:rsid w:val="006B14FE"/>
    <w:rsid w:val="006B1CE6"/>
    <w:rsid w:val="006B2DD9"/>
    <w:rsid w:val="006B3085"/>
    <w:rsid w:val="006B38EA"/>
    <w:rsid w:val="006B468E"/>
    <w:rsid w:val="006B6F81"/>
    <w:rsid w:val="006C4587"/>
    <w:rsid w:val="006C5AEF"/>
    <w:rsid w:val="006C6F3B"/>
    <w:rsid w:val="006D1F00"/>
    <w:rsid w:val="006D2CF2"/>
    <w:rsid w:val="006D463B"/>
    <w:rsid w:val="006D4C57"/>
    <w:rsid w:val="006D5C93"/>
    <w:rsid w:val="006D6C76"/>
    <w:rsid w:val="006E3367"/>
    <w:rsid w:val="006E5CD7"/>
    <w:rsid w:val="006E61F3"/>
    <w:rsid w:val="006F00E3"/>
    <w:rsid w:val="006F3119"/>
    <w:rsid w:val="006F40A7"/>
    <w:rsid w:val="006F42DF"/>
    <w:rsid w:val="00700A50"/>
    <w:rsid w:val="007012C7"/>
    <w:rsid w:val="00704BBE"/>
    <w:rsid w:val="007065CA"/>
    <w:rsid w:val="00711C15"/>
    <w:rsid w:val="00714A3C"/>
    <w:rsid w:val="00715BD9"/>
    <w:rsid w:val="00721B7D"/>
    <w:rsid w:val="007236E6"/>
    <w:rsid w:val="00725F13"/>
    <w:rsid w:val="00726F17"/>
    <w:rsid w:val="00733164"/>
    <w:rsid w:val="00733E60"/>
    <w:rsid w:val="00736866"/>
    <w:rsid w:val="007373CB"/>
    <w:rsid w:val="007375F0"/>
    <w:rsid w:val="0075044B"/>
    <w:rsid w:val="00755003"/>
    <w:rsid w:val="0075698F"/>
    <w:rsid w:val="00762973"/>
    <w:rsid w:val="00765522"/>
    <w:rsid w:val="00772800"/>
    <w:rsid w:val="00782452"/>
    <w:rsid w:val="0078370F"/>
    <w:rsid w:val="0078440C"/>
    <w:rsid w:val="007920DD"/>
    <w:rsid w:val="007932BC"/>
    <w:rsid w:val="007A0D42"/>
    <w:rsid w:val="007A362A"/>
    <w:rsid w:val="007A73F5"/>
    <w:rsid w:val="007B02F2"/>
    <w:rsid w:val="007B1F14"/>
    <w:rsid w:val="007B35F2"/>
    <w:rsid w:val="007B7603"/>
    <w:rsid w:val="007C0A41"/>
    <w:rsid w:val="007C494F"/>
    <w:rsid w:val="007D6504"/>
    <w:rsid w:val="007E20C6"/>
    <w:rsid w:val="007E3811"/>
    <w:rsid w:val="007F0516"/>
    <w:rsid w:val="007F254B"/>
    <w:rsid w:val="007F3BA0"/>
    <w:rsid w:val="007F3F8D"/>
    <w:rsid w:val="007F4C02"/>
    <w:rsid w:val="007F7E6A"/>
    <w:rsid w:val="00802860"/>
    <w:rsid w:val="00803D95"/>
    <w:rsid w:val="0081044C"/>
    <w:rsid w:val="008149B8"/>
    <w:rsid w:val="008177E9"/>
    <w:rsid w:val="00824704"/>
    <w:rsid w:val="0082632E"/>
    <w:rsid w:val="0083181F"/>
    <w:rsid w:val="00835B34"/>
    <w:rsid w:val="00841889"/>
    <w:rsid w:val="00844C96"/>
    <w:rsid w:val="00845AAB"/>
    <w:rsid w:val="00851124"/>
    <w:rsid w:val="00851AB2"/>
    <w:rsid w:val="00857758"/>
    <w:rsid w:val="0086526D"/>
    <w:rsid w:val="0087373C"/>
    <w:rsid w:val="0088170A"/>
    <w:rsid w:val="00881C38"/>
    <w:rsid w:val="008844F5"/>
    <w:rsid w:val="00885194"/>
    <w:rsid w:val="0088578F"/>
    <w:rsid w:val="00886C71"/>
    <w:rsid w:val="008871FD"/>
    <w:rsid w:val="00887BD6"/>
    <w:rsid w:val="00890CA5"/>
    <w:rsid w:val="008A3DE9"/>
    <w:rsid w:val="008A5284"/>
    <w:rsid w:val="008B3999"/>
    <w:rsid w:val="008B5227"/>
    <w:rsid w:val="008C0BEA"/>
    <w:rsid w:val="008C34FF"/>
    <w:rsid w:val="008D1658"/>
    <w:rsid w:val="008D17FE"/>
    <w:rsid w:val="008D54F0"/>
    <w:rsid w:val="008E78AB"/>
    <w:rsid w:val="008F2171"/>
    <w:rsid w:val="008F31B8"/>
    <w:rsid w:val="008F7003"/>
    <w:rsid w:val="008F79A1"/>
    <w:rsid w:val="00903A46"/>
    <w:rsid w:val="00905AE8"/>
    <w:rsid w:val="00905D99"/>
    <w:rsid w:val="00906276"/>
    <w:rsid w:val="00907765"/>
    <w:rsid w:val="009104A9"/>
    <w:rsid w:val="00913A7C"/>
    <w:rsid w:val="00916EC2"/>
    <w:rsid w:val="009221A6"/>
    <w:rsid w:val="009247B0"/>
    <w:rsid w:val="00931BDA"/>
    <w:rsid w:val="009324FD"/>
    <w:rsid w:val="009326BD"/>
    <w:rsid w:val="00933A0B"/>
    <w:rsid w:val="00935498"/>
    <w:rsid w:val="009426A8"/>
    <w:rsid w:val="00943AB6"/>
    <w:rsid w:val="0094450F"/>
    <w:rsid w:val="0094555F"/>
    <w:rsid w:val="009464A8"/>
    <w:rsid w:val="009466D5"/>
    <w:rsid w:val="00947BCE"/>
    <w:rsid w:val="00950B30"/>
    <w:rsid w:val="00954B28"/>
    <w:rsid w:val="00957B7C"/>
    <w:rsid w:val="00970E6E"/>
    <w:rsid w:val="00975593"/>
    <w:rsid w:val="0097591D"/>
    <w:rsid w:val="00975C03"/>
    <w:rsid w:val="00995546"/>
    <w:rsid w:val="00996EA7"/>
    <w:rsid w:val="009A1A67"/>
    <w:rsid w:val="009A2E05"/>
    <w:rsid w:val="009A6C72"/>
    <w:rsid w:val="009B0F02"/>
    <w:rsid w:val="009B690F"/>
    <w:rsid w:val="009C69D5"/>
    <w:rsid w:val="009D20E8"/>
    <w:rsid w:val="009D57D6"/>
    <w:rsid w:val="009E2CA1"/>
    <w:rsid w:val="009E4408"/>
    <w:rsid w:val="009F16ED"/>
    <w:rsid w:val="009F223A"/>
    <w:rsid w:val="009F461D"/>
    <w:rsid w:val="009F4EC2"/>
    <w:rsid w:val="00A01081"/>
    <w:rsid w:val="00A0176E"/>
    <w:rsid w:val="00A02B01"/>
    <w:rsid w:val="00A03C12"/>
    <w:rsid w:val="00A04F00"/>
    <w:rsid w:val="00A110FA"/>
    <w:rsid w:val="00A14A95"/>
    <w:rsid w:val="00A203EB"/>
    <w:rsid w:val="00A214DD"/>
    <w:rsid w:val="00A23B4E"/>
    <w:rsid w:val="00A24596"/>
    <w:rsid w:val="00A24676"/>
    <w:rsid w:val="00A34A81"/>
    <w:rsid w:val="00A4037A"/>
    <w:rsid w:val="00A419E9"/>
    <w:rsid w:val="00A44A96"/>
    <w:rsid w:val="00A5386A"/>
    <w:rsid w:val="00A556E1"/>
    <w:rsid w:val="00A60091"/>
    <w:rsid w:val="00A60D22"/>
    <w:rsid w:val="00A6583B"/>
    <w:rsid w:val="00A7188A"/>
    <w:rsid w:val="00A77D8A"/>
    <w:rsid w:val="00A80294"/>
    <w:rsid w:val="00A818F4"/>
    <w:rsid w:val="00A831A3"/>
    <w:rsid w:val="00A833CD"/>
    <w:rsid w:val="00A83583"/>
    <w:rsid w:val="00A87EF7"/>
    <w:rsid w:val="00A97752"/>
    <w:rsid w:val="00AB2C59"/>
    <w:rsid w:val="00AB4749"/>
    <w:rsid w:val="00AB7F36"/>
    <w:rsid w:val="00AC3F38"/>
    <w:rsid w:val="00AC7B60"/>
    <w:rsid w:val="00AD6086"/>
    <w:rsid w:val="00AD6732"/>
    <w:rsid w:val="00AE4C2E"/>
    <w:rsid w:val="00AF01D6"/>
    <w:rsid w:val="00AF09AC"/>
    <w:rsid w:val="00AF1BB9"/>
    <w:rsid w:val="00AF62BF"/>
    <w:rsid w:val="00B04AD5"/>
    <w:rsid w:val="00B07515"/>
    <w:rsid w:val="00B1006A"/>
    <w:rsid w:val="00B115CE"/>
    <w:rsid w:val="00B119BE"/>
    <w:rsid w:val="00B13ABF"/>
    <w:rsid w:val="00B16919"/>
    <w:rsid w:val="00B1779A"/>
    <w:rsid w:val="00B2217C"/>
    <w:rsid w:val="00B242DD"/>
    <w:rsid w:val="00B25ED7"/>
    <w:rsid w:val="00B32108"/>
    <w:rsid w:val="00B34AE0"/>
    <w:rsid w:val="00B35DCF"/>
    <w:rsid w:val="00B35F50"/>
    <w:rsid w:val="00B47981"/>
    <w:rsid w:val="00B55D36"/>
    <w:rsid w:val="00B56D20"/>
    <w:rsid w:val="00B642C8"/>
    <w:rsid w:val="00B653E9"/>
    <w:rsid w:val="00B6553D"/>
    <w:rsid w:val="00B7335B"/>
    <w:rsid w:val="00B76C04"/>
    <w:rsid w:val="00B777A1"/>
    <w:rsid w:val="00B870B2"/>
    <w:rsid w:val="00B91750"/>
    <w:rsid w:val="00B91B87"/>
    <w:rsid w:val="00B91DA7"/>
    <w:rsid w:val="00B92510"/>
    <w:rsid w:val="00BA12AB"/>
    <w:rsid w:val="00BB0575"/>
    <w:rsid w:val="00BB2CC2"/>
    <w:rsid w:val="00BB4345"/>
    <w:rsid w:val="00BB4ACD"/>
    <w:rsid w:val="00BC14DF"/>
    <w:rsid w:val="00BC1825"/>
    <w:rsid w:val="00BC1E52"/>
    <w:rsid w:val="00BC663C"/>
    <w:rsid w:val="00BD1FCF"/>
    <w:rsid w:val="00BD5821"/>
    <w:rsid w:val="00BE0F01"/>
    <w:rsid w:val="00BE31F7"/>
    <w:rsid w:val="00BE5CA2"/>
    <w:rsid w:val="00BF00C3"/>
    <w:rsid w:val="00BF2788"/>
    <w:rsid w:val="00BF35C8"/>
    <w:rsid w:val="00BF50E3"/>
    <w:rsid w:val="00BF5F0D"/>
    <w:rsid w:val="00BF75CD"/>
    <w:rsid w:val="00BF7D72"/>
    <w:rsid w:val="00C00587"/>
    <w:rsid w:val="00C0255F"/>
    <w:rsid w:val="00C04328"/>
    <w:rsid w:val="00C04382"/>
    <w:rsid w:val="00C069C5"/>
    <w:rsid w:val="00C11648"/>
    <w:rsid w:val="00C26BE6"/>
    <w:rsid w:val="00C3102B"/>
    <w:rsid w:val="00C31626"/>
    <w:rsid w:val="00C44DFB"/>
    <w:rsid w:val="00C463A2"/>
    <w:rsid w:val="00C47726"/>
    <w:rsid w:val="00C52EED"/>
    <w:rsid w:val="00C60B27"/>
    <w:rsid w:val="00C6370A"/>
    <w:rsid w:val="00C63E7A"/>
    <w:rsid w:val="00C73E6E"/>
    <w:rsid w:val="00C75990"/>
    <w:rsid w:val="00C765D3"/>
    <w:rsid w:val="00C778EB"/>
    <w:rsid w:val="00C9251E"/>
    <w:rsid w:val="00CA0EE5"/>
    <w:rsid w:val="00CA1D9D"/>
    <w:rsid w:val="00CA1DC5"/>
    <w:rsid w:val="00CA329F"/>
    <w:rsid w:val="00CA3D17"/>
    <w:rsid w:val="00CA5A2B"/>
    <w:rsid w:val="00CB0457"/>
    <w:rsid w:val="00CB0CB4"/>
    <w:rsid w:val="00CC2CE0"/>
    <w:rsid w:val="00CC657B"/>
    <w:rsid w:val="00CC70E3"/>
    <w:rsid w:val="00CD6A42"/>
    <w:rsid w:val="00CE6291"/>
    <w:rsid w:val="00CE7DB3"/>
    <w:rsid w:val="00CF1907"/>
    <w:rsid w:val="00CF32F5"/>
    <w:rsid w:val="00CF7DEA"/>
    <w:rsid w:val="00D0134F"/>
    <w:rsid w:val="00D0204F"/>
    <w:rsid w:val="00D03505"/>
    <w:rsid w:val="00D07AE7"/>
    <w:rsid w:val="00D104EB"/>
    <w:rsid w:val="00D15A48"/>
    <w:rsid w:val="00D15B33"/>
    <w:rsid w:val="00D16490"/>
    <w:rsid w:val="00D179D4"/>
    <w:rsid w:val="00D21A06"/>
    <w:rsid w:val="00D24A24"/>
    <w:rsid w:val="00D252A8"/>
    <w:rsid w:val="00D27D32"/>
    <w:rsid w:val="00D46858"/>
    <w:rsid w:val="00D51DB7"/>
    <w:rsid w:val="00D52C67"/>
    <w:rsid w:val="00D55FF1"/>
    <w:rsid w:val="00D613F1"/>
    <w:rsid w:val="00D719FE"/>
    <w:rsid w:val="00D7678A"/>
    <w:rsid w:val="00D902EC"/>
    <w:rsid w:val="00D94854"/>
    <w:rsid w:val="00D95D79"/>
    <w:rsid w:val="00D97C99"/>
    <w:rsid w:val="00DA0C8B"/>
    <w:rsid w:val="00DA56F7"/>
    <w:rsid w:val="00DB20C2"/>
    <w:rsid w:val="00DB54BF"/>
    <w:rsid w:val="00DB6508"/>
    <w:rsid w:val="00DB67F3"/>
    <w:rsid w:val="00DC1BD5"/>
    <w:rsid w:val="00DC1F30"/>
    <w:rsid w:val="00DC2B4C"/>
    <w:rsid w:val="00DC504B"/>
    <w:rsid w:val="00DC5D14"/>
    <w:rsid w:val="00DC6F7A"/>
    <w:rsid w:val="00DD5357"/>
    <w:rsid w:val="00DE3CC2"/>
    <w:rsid w:val="00DE6D33"/>
    <w:rsid w:val="00E03697"/>
    <w:rsid w:val="00E03CD4"/>
    <w:rsid w:val="00E07643"/>
    <w:rsid w:val="00E07EFB"/>
    <w:rsid w:val="00E115BD"/>
    <w:rsid w:val="00E12BDA"/>
    <w:rsid w:val="00E21CBC"/>
    <w:rsid w:val="00E23C27"/>
    <w:rsid w:val="00E24D17"/>
    <w:rsid w:val="00E25151"/>
    <w:rsid w:val="00E36398"/>
    <w:rsid w:val="00E366D7"/>
    <w:rsid w:val="00E40CCA"/>
    <w:rsid w:val="00E43857"/>
    <w:rsid w:val="00E46F24"/>
    <w:rsid w:val="00E51281"/>
    <w:rsid w:val="00E519C5"/>
    <w:rsid w:val="00E539F6"/>
    <w:rsid w:val="00E61981"/>
    <w:rsid w:val="00E6251E"/>
    <w:rsid w:val="00E63353"/>
    <w:rsid w:val="00E633B0"/>
    <w:rsid w:val="00E63EBB"/>
    <w:rsid w:val="00E726B1"/>
    <w:rsid w:val="00E72F96"/>
    <w:rsid w:val="00E76B74"/>
    <w:rsid w:val="00E76D02"/>
    <w:rsid w:val="00E80A05"/>
    <w:rsid w:val="00E8280C"/>
    <w:rsid w:val="00E83D31"/>
    <w:rsid w:val="00E87A64"/>
    <w:rsid w:val="00E92AFB"/>
    <w:rsid w:val="00E934C5"/>
    <w:rsid w:val="00E971F9"/>
    <w:rsid w:val="00E9748A"/>
    <w:rsid w:val="00EA2580"/>
    <w:rsid w:val="00EA2611"/>
    <w:rsid w:val="00EA5A79"/>
    <w:rsid w:val="00EA67C2"/>
    <w:rsid w:val="00EB11D1"/>
    <w:rsid w:val="00EB2F51"/>
    <w:rsid w:val="00EB424D"/>
    <w:rsid w:val="00EB56CE"/>
    <w:rsid w:val="00EB5E3E"/>
    <w:rsid w:val="00EB7D20"/>
    <w:rsid w:val="00ED059E"/>
    <w:rsid w:val="00ED4275"/>
    <w:rsid w:val="00ED5220"/>
    <w:rsid w:val="00EE1AE6"/>
    <w:rsid w:val="00EE50CB"/>
    <w:rsid w:val="00EE75CB"/>
    <w:rsid w:val="00EF17FD"/>
    <w:rsid w:val="00EF264E"/>
    <w:rsid w:val="00EF2AFD"/>
    <w:rsid w:val="00EF3FCA"/>
    <w:rsid w:val="00EF56A5"/>
    <w:rsid w:val="00EF7E5E"/>
    <w:rsid w:val="00F00EE3"/>
    <w:rsid w:val="00F0388F"/>
    <w:rsid w:val="00F04356"/>
    <w:rsid w:val="00F1127F"/>
    <w:rsid w:val="00F113C4"/>
    <w:rsid w:val="00F1338A"/>
    <w:rsid w:val="00F33075"/>
    <w:rsid w:val="00F43DB7"/>
    <w:rsid w:val="00F50841"/>
    <w:rsid w:val="00F56B29"/>
    <w:rsid w:val="00F63F51"/>
    <w:rsid w:val="00F723B7"/>
    <w:rsid w:val="00F72D35"/>
    <w:rsid w:val="00F77511"/>
    <w:rsid w:val="00F81832"/>
    <w:rsid w:val="00F81BD5"/>
    <w:rsid w:val="00F82E1E"/>
    <w:rsid w:val="00F90620"/>
    <w:rsid w:val="00F92D4C"/>
    <w:rsid w:val="00F92F23"/>
    <w:rsid w:val="00F93508"/>
    <w:rsid w:val="00F943AD"/>
    <w:rsid w:val="00F94E93"/>
    <w:rsid w:val="00FB25B1"/>
    <w:rsid w:val="00FB3D29"/>
    <w:rsid w:val="00FB5D4C"/>
    <w:rsid w:val="00FC2880"/>
    <w:rsid w:val="00FC6359"/>
    <w:rsid w:val="00FC73CD"/>
    <w:rsid w:val="00FD2849"/>
    <w:rsid w:val="00FD3102"/>
    <w:rsid w:val="00FD49F1"/>
    <w:rsid w:val="00FD76D5"/>
    <w:rsid w:val="00FE666C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CB8D39"/>
  <w15:chartTrackingRefBased/>
  <w15:docId w15:val="{E1A3D82F-1ABF-6743-B25A-6E97B60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BE"/>
    <w:rPr>
      <w:rFonts w:ascii="Ping LCG" w:hAnsi="Ping LCG" w:cs="Times New Roman (Body CS)"/>
    </w:rPr>
  </w:style>
  <w:style w:type="paragraph" w:styleId="Heading1">
    <w:name w:val="heading 1"/>
    <w:basedOn w:val="Normal"/>
    <w:next w:val="Normal"/>
    <w:link w:val="Heading1Char"/>
    <w:autoRedefine/>
    <w:qFormat/>
    <w:rsid w:val="000E10B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E10B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110F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110FA"/>
    <w:pPr>
      <w:keepNext/>
      <w:jc w:val="both"/>
      <w:outlineLvl w:val="7"/>
    </w:pPr>
    <w:rPr>
      <w:rFonts w:ascii="Arial" w:eastAsia="Times New Roman" w:hAnsi="Arial" w:cs="Arial"/>
      <w:sz w:val="2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0E10B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0BE"/>
    <w:rPr>
      <w:rFonts w:ascii="Ping LCG" w:eastAsiaTheme="majorEastAsia" w:hAnsi="Ping LCG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10BE"/>
    <w:rPr>
      <w:rFonts w:ascii="Ping LCG" w:eastAsiaTheme="majorEastAsia" w:hAnsi="Ping LCG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0BE"/>
    <w:rPr>
      <w:rFonts w:ascii="Ping LCG" w:eastAsiaTheme="majorEastAsia" w:hAnsi="Ping LCG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E10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10BE"/>
    <w:rPr>
      <w:rFonts w:ascii="Ping LCG" w:eastAsiaTheme="minorEastAsia" w:hAnsi="Ping LCG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E10BE"/>
    <w:rPr>
      <w:rFonts w:ascii="Ping LCG" w:hAnsi="Ping LCG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0E10BE"/>
    <w:rPr>
      <w:rFonts w:ascii="Ping LCG" w:hAnsi="Ping LCG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0E10BE"/>
    <w:rPr>
      <w:rFonts w:ascii="Ping LCG" w:hAnsi="Ping LCG"/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E10BE"/>
    <w:rPr>
      <w:rFonts w:ascii="Ping LCG" w:hAnsi="Ping LCG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0E10BE"/>
    <w:rPr>
      <w:rFonts w:ascii="Ping LCG" w:hAnsi="Ping LCG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E10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0BE"/>
    <w:rPr>
      <w:rFonts w:ascii="Ping LCG" w:hAnsi="Ping LCG" w:cs="Times New Roman (Body CS)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0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0BE"/>
    <w:rPr>
      <w:rFonts w:ascii="Ping LCG" w:hAnsi="Ping LCG" w:cs="Times New Roman (Body CS)"/>
      <w:i/>
      <w:iCs/>
      <w:color w:val="4472C4" w:themeColor="accent1"/>
    </w:rPr>
  </w:style>
  <w:style w:type="character" w:styleId="Emphasis">
    <w:name w:val="Emphasis"/>
    <w:basedOn w:val="DefaultParagraphFont"/>
    <w:qFormat/>
    <w:rsid w:val="000E10BE"/>
    <w:rPr>
      <w:rFonts w:ascii="Ping LCG" w:hAnsi="Ping LCG"/>
      <w:i/>
      <w:iCs/>
    </w:rPr>
  </w:style>
  <w:style w:type="character" w:styleId="IntenseEmphasis">
    <w:name w:val="Intense Emphasis"/>
    <w:basedOn w:val="DefaultParagraphFont"/>
    <w:uiPriority w:val="21"/>
    <w:qFormat/>
    <w:rsid w:val="000E10BE"/>
    <w:rPr>
      <w:rFonts w:ascii="Ping LCG" w:hAnsi="Ping LCG"/>
      <w:i/>
      <w:iCs/>
      <w:color w:val="4472C4" w:themeColor="accent1"/>
    </w:rPr>
  </w:style>
  <w:style w:type="paragraph" w:styleId="Header">
    <w:name w:val="header"/>
    <w:basedOn w:val="Normal"/>
    <w:link w:val="HeaderChar"/>
    <w:unhideWhenUsed/>
    <w:rsid w:val="000E1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BE"/>
    <w:rPr>
      <w:rFonts w:ascii="Ping LCG" w:hAnsi="Ping LCG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0E1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BE"/>
    <w:rPr>
      <w:rFonts w:ascii="Ping LCG" w:hAnsi="Ping LCG" w:cs="Times New Roman (Body CS)"/>
    </w:rPr>
  </w:style>
  <w:style w:type="table" w:styleId="TableGrid">
    <w:name w:val="Table Grid"/>
    <w:basedOn w:val="TableNormal"/>
    <w:rsid w:val="00BB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C1F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30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A110F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110FA"/>
    <w:rPr>
      <w:rFonts w:ascii="Arial" w:eastAsia="Times New Roman" w:hAnsi="Arial" w:cs="Arial"/>
      <w:sz w:val="28"/>
      <w:szCs w:val="20"/>
      <w:lang w:val="el-GR" w:eastAsia="el-GR"/>
    </w:rPr>
  </w:style>
  <w:style w:type="paragraph" w:styleId="BodyText">
    <w:name w:val="Body Text"/>
    <w:basedOn w:val="Normal"/>
    <w:link w:val="BodyTextChar"/>
    <w:rsid w:val="00A110FA"/>
    <w:pPr>
      <w:jc w:val="both"/>
    </w:pPr>
    <w:rPr>
      <w:rFonts w:ascii="Times New Roman" w:eastAsia="Times New Roman" w:hAnsi="Times New Roman" w:cs="Times New Roman"/>
      <w:bCs/>
      <w:lang w:val="el-GR"/>
    </w:rPr>
  </w:style>
  <w:style w:type="character" w:customStyle="1" w:styleId="BodyTextChar">
    <w:name w:val="Body Text Char"/>
    <w:basedOn w:val="DefaultParagraphFont"/>
    <w:link w:val="BodyText"/>
    <w:rsid w:val="00A110FA"/>
    <w:rPr>
      <w:rFonts w:ascii="Times New Roman" w:eastAsia="Times New Roman" w:hAnsi="Times New Roman" w:cs="Times New Roman"/>
      <w:bCs/>
      <w:lang w:val="el-GR"/>
    </w:rPr>
  </w:style>
  <w:style w:type="paragraph" w:styleId="BodyTextIndent2">
    <w:name w:val="Body Text Indent 2"/>
    <w:basedOn w:val="Normal"/>
    <w:link w:val="BodyTextIndent2Char"/>
    <w:rsid w:val="00A110FA"/>
    <w:pPr>
      <w:spacing w:after="120" w:line="480" w:lineRule="auto"/>
      <w:ind w:left="283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A110FA"/>
    <w:rPr>
      <w:rFonts w:ascii="Times New Roman" w:eastAsia="Times New Roman" w:hAnsi="Times New Roman" w:cs="Times New Roman"/>
      <w:lang w:val="el-GR" w:eastAsia="el-GR"/>
    </w:rPr>
  </w:style>
  <w:style w:type="paragraph" w:styleId="BodyTextIndent3">
    <w:name w:val="Body Text Indent 3"/>
    <w:basedOn w:val="Normal"/>
    <w:link w:val="BodyTextIndent3Char"/>
    <w:rsid w:val="00A110F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BodyTextIndent3Char">
    <w:name w:val="Body Text Indent 3 Char"/>
    <w:basedOn w:val="DefaultParagraphFont"/>
    <w:link w:val="BodyTextIndent3"/>
    <w:rsid w:val="00A110FA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customStyle="1" w:styleId="1">
    <w:name w:val="1"/>
    <w:basedOn w:val="Normal"/>
    <w:next w:val="BodyText"/>
    <w:rsid w:val="00A110FA"/>
    <w:pPr>
      <w:spacing w:line="360" w:lineRule="auto"/>
      <w:jc w:val="both"/>
    </w:pPr>
    <w:rPr>
      <w:rFonts w:ascii="Arial" w:eastAsia="Times New Roman" w:hAnsi="Arial" w:cs="Times New Roman"/>
      <w:szCs w:val="20"/>
      <w:lang w:val="el-GR"/>
    </w:rPr>
  </w:style>
  <w:style w:type="paragraph" w:styleId="DocumentMap">
    <w:name w:val="Document Map"/>
    <w:basedOn w:val="Normal"/>
    <w:link w:val="DocumentMapChar"/>
    <w:semiHidden/>
    <w:rsid w:val="00A110FA"/>
    <w:pPr>
      <w:shd w:val="clear" w:color="auto" w:fill="000080"/>
    </w:pPr>
    <w:rPr>
      <w:rFonts w:ascii="Tahoma" w:eastAsia="Times New Roman" w:hAnsi="Tahoma" w:cs="Tahoma"/>
      <w:sz w:val="20"/>
      <w:szCs w:val="20"/>
      <w:lang w:val="el-GR" w:eastAsia="el-GR"/>
    </w:rPr>
  </w:style>
  <w:style w:type="character" w:customStyle="1" w:styleId="DocumentMapChar">
    <w:name w:val="Document Map Char"/>
    <w:basedOn w:val="DefaultParagraphFont"/>
    <w:link w:val="DocumentMap"/>
    <w:semiHidden/>
    <w:rsid w:val="00A110FA"/>
    <w:rPr>
      <w:rFonts w:ascii="Tahoma" w:eastAsia="Times New Roman" w:hAnsi="Tahoma" w:cs="Tahoma"/>
      <w:sz w:val="20"/>
      <w:szCs w:val="20"/>
      <w:shd w:val="clear" w:color="auto" w:fill="000080"/>
      <w:lang w:val="el-GR" w:eastAsia="el-GR"/>
    </w:rPr>
  </w:style>
  <w:style w:type="character" w:styleId="PageNumber">
    <w:name w:val="page number"/>
    <w:basedOn w:val="DefaultParagraphFont"/>
    <w:rsid w:val="00A110FA"/>
  </w:style>
  <w:style w:type="paragraph" w:customStyle="1" w:styleId="DEHGR">
    <w:name w:val="DEHGR"/>
    <w:basedOn w:val="Normal"/>
    <w:rsid w:val="00A110FA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customStyle="1" w:styleId="a">
    <w:name w:val="κεφαλαιο"/>
    <w:basedOn w:val="Normal"/>
    <w:rsid w:val="00A110FA"/>
    <w:pPr>
      <w:ind w:firstLine="180"/>
      <w:jc w:val="both"/>
    </w:pPr>
    <w:rPr>
      <w:rFonts w:ascii="Comic Sans MS" w:eastAsia="Times New Roman" w:hAnsi="Comic Sans MS" w:cs="Times New Roman"/>
      <w:b/>
      <w:sz w:val="36"/>
      <w:lang w:val="el-GR" w:eastAsia="el-GR"/>
    </w:rPr>
  </w:style>
  <w:style w:type="character" w:styleId="Hyperlink">
    <w:name w:val="Hyperlink"/>
    <w:rsid w:val="00A110FA"/>
    <w:rPr>
      <w:color w:val="0000FF"/>
      <w:u w:val="single"/>
    </w:rPr>
  </w:style>
  <w:style w:type="paragraph" w:styleId="NormalWeb">
    <w:name w:val="Normal (Web)"/>
    <w:basedOn w:val="Normal"/>
    <w:uiPriority w:val="99"/>
    <w:rsid w:val="00A110FA"/>
    <w:pPr>
      <w:spacing w:before="100" w:beforeAutospacing="1" w:after="100" w:afterAutospacing="1"/>
    </w:pPr>
    <w:rPr>
      <w:rFonts w:ascii="Verdana" w:eastAsia="SimSun" w:hAnsi="Verdana" w:cs="Times New Roman"/>
      <w:color w:val="000000"/>
      <w:sz w:val="15"/>
      <w:szCs w:val="15"/>
      <w:lang w:val="el-GR" w:eastAsia="zh-CN"/>
    </w:rPr>
  </w:style>
  <w:style w:type="paragraph" w:customStyle="1" w:styleId="Default">
    <w:name w:val="Default"/>
    <w:rsid w:val="00A110F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val="el-GR" w:eastAsia="el-GR"/>
    </w:rPr>
  </w:style>
  <w:style w:type="paragraph" w:customStyle="1" w:styleId="ListParagraph1">
    <w:name w:val="List Paragraph1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msolistparagraph0">
    <w:name w:val="msolistparagraph"/>
    <w:basedOn w:val="Normal"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apple-style-span">
    <w:name w:val="apple-style-span"/>
    <w:basedOn w:val="DefaultParagraphFont"/>
    <w:rsid w:val="00A110FA"/>
  </w:style>
  <w:style w:type="paragraph" w:customStyle="1" w:styleId="ListParagraph2">
    <w:name w:val="List Paragraph2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10">
    <w:name w:val="Παράγραφος λίστας1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A110FA"/>
    <w:pPr>
      <w:ind w:left="720"/>
    </w:pPr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uiPriority w:val="99"/>
    <w:rsid w:val="00A11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A110FA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A110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A110FA"/>
    <w:rPr>
      <w:rFonts w:ascii="Times New Roman" w:eastAsia="Times New Roman" w:hAnsi="Times New Roman" w:cs="Times New Roman"/>
      <w:lang w:val="el-GR" w:eastAsia="el-GR"/>
    </w:rPr>
  </w:style>
  <w:style w:type="character" w:styleId="LineNumber">
    <w:name w:val="line number"/>
    <w:basedOn w:val="DefaultParagraphFont"/>
    <w:rsid w:val="00A110FA"/>
  </w:style>
  <w:style w:type="paragraph" w:styleId="FootnoteText">
    <w:name w:val="footnote text"/>
    <w:basedOn w:val="Normal"/>
    <w:link w:val="FootnoteTextChar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rsid w:val="00A110F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FootnoteReference">
    <w:name w:val="footnote reference"/>
    <w:rsid w:val="00A110FA"/>
    <w:rPr>
      <w:vertAlign w:val="superscript"/>
    </w:rPr>
  </w:style>
  <w:style w:type="table" w:customStyle="1" w:styleId="11">
    <w:name w:val="Πλέγμα πίνακα1"/>
    <w:basedOn w:val="TableNormal"/>
    <w:next w:val="TableGrid"/>
    <w:uiPriority w:val="59"/>
    <w:rsid w:val="00A110FA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110FA"/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Ανοιχτόχρωμη σκίαση1"/>
    <w:basedOn w:val="TableNormal"/>
    <w:next w:val="LightShading1"/>
    <w:uiPriority w:val="60"/>
    <w:rsid w:val="00A110FA"/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lid-translation">
    <w:name w:val="tlid-translation"/>
    <w:basedOn w:val="DefaultParagraphFont"/>
    <w:rsid w:val="00A110FA"/>
  </w:style>
  <w:style w:type="character" w:styleId="UnresolvedMention">
    <w:name w:val="Unresolved Mention"/>
    <w:basedOn w:val="DefaultParagraphFont"/>
    <w:uiPriority w:val="99"/>
    <w:semiHidden/>
    <w:unhideWhenUsed/>
    <w:rsid w:val="007E3811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B119B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3E6E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DefaultParagraphFont"/>
    <w:rsid w:val="00C7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626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822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6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823">
          <w:marLeft w:val="562"/>
          <w:marRight w:val="57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dei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stefos@de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8595-453F-4B99-B80C-9C4AA3F6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Μπούτου Ελευθερία</cp:lastModifiedBy>
  <cp:revision>44</cp:revision>
  <cp:lastPrinted>2022-02-16T07:04:00Z</cp:lastPrinted>
  <dcterms:created xsi:type="dcterms:W3CDTF">2022-02-08T14:58:00Z</dcterms:created>
  <dcterms:modified xsi:type="dcterms:W3CDTF">2022-02-22T08:22:00Z</dcterms:modified>
</cp:coreProperties>
</file>