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FA35" w14:textId="69DFB37E" w:rsidR="00A01B77" w:rsidRPr="00413F55" w:rsidRDefault="004E6653" w:rsidP="00A01B77">
      <w:pPr>
        <w:spacing w:after="0"/>
        <w:jc w:val="center"/>
        <w:rPr>
          <w:rFonts w:ascii="Ping LCG Regular" w:hAnsi="Ping LCG Regular"/>
          <w:b/>
          <w:lang w:val="en-US"/>
        </w:rPr>
      </w:pPr>
      <w:bookmarkStart w:id="0" w:name="_GoBack"/>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proofErr w:type="gramStart"/>
      <w:r w:rsidR="00D02E28" w:rsidRPr="00413F55">
        <w:rPr>
          <w:rFonts w:ascii="Ping LCG Regular" w:hAnsi="Ping LCG Regular"/>
          <w:b/>
          <w:lang w:val="en-US"/>
        </w:rPr>
        <w:t xml:space="preserve">Extraordinary </w:t>
      </w:r>
      <w:r w:rsidR="00A01B77" w:rsidRPr="00413F55">
        <w:rPr>
          <w:rFonts w:ascii="Ping LCG Regular" w:hAnsi="Ping LCG Regular"/>
          <w:b/>
          <w:lang w:val="en-US"/>
        </w:rPr>
        <w:t xml:space="preserve"> General</w:t>
      </w:r>
      <w:proofErr w:type="gramEnd"/>
      <w:r w:rsidR="00A01B77" w:rsidRPr="00413F55">
        <w:rPr>
          <w:rFonts w:ascii="Ping LCG Regular" w:hAnsi="Ping LCG Regular"/>
          <w:b/>
          <w:lang w:val="en-US"/>
        </w:rPr>
        <w:t xml:space="preserve">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D02E28" w:rsidRPr="00413F55">
        <w:rPr>
          <w:rFonts w:ascii="Ping LCG Regular" w:hAnsi="Ping LCG Regular"/>
          <w:b/>
          <w:lang w:val="en-US"/>
        </w:rPr>
        <w:t>June 4, 2021</w:t>
      </w:r>
    </w:p>
    <w:p w14:paraId="2470B140" w14:textId="3BB221B7" w:rsidR="00A01B77" w:rsidRPr="00413F55" w:rsidRDefault="00A41583" w:rsidP="00A01B77">
      <w:pPr>
        <w:spacing w:after="0"/>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repetitive, following a recess or postponement etc. meeting</w:t>
      </w:r>
      <w:r w:rsidRPr="00413F55">
        <w:rPr>
          <w:rFonts w:ascii="Ping LCG Regular" w:hAnsi="Ping LCG Regular"/>
          <w:b/>
          <w:lang w:val="en-US"/>
        </w:rPr>
        <w:t>)</w:t>
      </w:r>
    </w:p>
    <w:bookmarkEnd w:id="0"/>
    <w:p w14:paraId="124CB09B" w14:textId="45F5D618"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772025" w14:paraId="157B858E" w14:textId="77777777" w:rsidTr="00A122EB">
        <w:trPr>
          <w:trHeight w:val="340"/>
        </w:trPr>
        <w:tc>
          <w:tcPr>
            <w:tcW w:w="4535" w:type="dxa"/>
            <w:shd w:val="clear" w:color="auto" w:fill="auto"/>
          </w:tcPr>
          <w:p w14:paraId="231FE14F"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13539E"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B202CB0" w14:textId="77777777" w:rsidTr="00A122EB">
        <w:trPr>
          <w:trHeight w:val="340"/>
        </w:trPr>
        <w:tc>
          <w:tcPr>
            <w:tcW w:w="4535" w:type="dxa"/>
            <w:shd w:val="clear" w:color="auto" w:fill="auto"/>
          </w:tcPr>
          <w:p w14:paraId="3EBF520E"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CBBC923"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3260868" w14:textId="77777777" w:rsidTr="00A122EB">
        <w:trPr>
          <w:trHeight w:val="340"/>
        </w:trPr>
        <w:tc>
          <w:tcPr>
            <w:tcW w:w="4535" w:type="dxa"/>
            <w:shd w:val="clear" w:color="auto" w:fill="auto"/>
          </w:tcPr>
          <w:p w14:paraId="7C5F4821"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E5F2547"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0602C5D7" w14:textId="77777777" w:rsidTr="00A122EB">
        <w:trPr>
          <w:trHeight w:val="340"/>
        </w:trPr>
        <w:tc>
          <w:tcPr>
            <w:tcW w:w="4535" w:type="dxa"/>
            <w:shd w:val="clear" w:color="auto" w:fill="auto"/>
          </w:tcPr>
          <w:p w14:paraId="751D621B"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Number of shares for participation at the GM</w:t>
            </w:r>
          </w:p>
          <w:p w14:paraId="0349AE55"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i/>
                <w:sz w:val="18"/>
                <w:szCs w:val="18"/>
                <w:lang w:val="en-US"/>
              </w:rPr>
              <w:t xml:space="preserve">(if no number of shares is filled-in, the proxy will be valid for the </w:t>
            </w:r>
            <w:r w:rsidRPr="00772025">
              <w:rPr>
                <w:rFonts w:ascii="Ping LCG Regular" w:hAnsi="Ping LCG Regular" w:cs="Tahoma"/>
                <w:i/>
                <w:sz w:val="18"/>
                <w:szCs w:val="18"/>
                <w:u w:val="single"/>
                <w:lang w:val="en-US"/>
              </w:rPr>
              <w:t>total number of shares</w:t>
            </w:r>
            <w:r w:rsidRPr="00772025">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3CB1A48F"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47888791" w14:textId="77777777" w:rsidTr="00A122EB">
        <w:trPr>
          <w:trHeight w:val="340"/>
        </w:trPr>
        <w:tc>
          <w:tcPr>
            <w:tcW w:w="4535" w:type="dxa"/>
            <w:shd w:val="clear" w:color="auto" w:fill="auto"/>
          </w:tcPr>
          <w:p w14:paraId="336C82F4" w14:textId="77777777" w:rsidR="00A01B77" w:rsidRPr="00772025" w:rsidRDefault="00A01B77" w:rsidP="00A122EB">
            <w:pPr>
              <w:tabs>
                <w:tab w:val="left" w:pos="2835"/>
              </w:tabs>
              <w:spacing w:before="40" w:after="40" w:line="240" w:lineRule="auto"/>
              <w:rPr>
                <w:rFonts w:ascii="Ping LCG Regular" w:hAnsi="Ping LCG Regular" w:cs="Tahoma"/>
                <w:i/>
                <w:sz w:val="18"/>
                <w:szCs w:val="18"/>
                <w:lang w:val="en-US"/>
              </w:rPr>
            </w:pPr>
            <w:r w:rsidRPr="00772025">
              <w:rPr>
                <w:rFonts w:ascii="Ping LCG Regular" w:hAnsi="Ping LCG Regular" w:cs="Tahoma"/>
                <w:b/>
                <w:i/>
                <w:sz w:val="18"/>
                <w:szCs w:val="18"/>
                <w:lang w:val="en-US"/>
              </w:rPr>
              <w:t xml:space="preserve">DSS Account </w:t>
            </w:r>
            <w:r w:rsidRPr="00772025">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E886CE"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3082EDFF" w14:textId="77777777" w:rsidTr="00A122EB">
        <w:trPr>
          <w:trHeight w:val="340"/>
        </w:trPr>
        <w:tc>
          <w:tcPr>
            <w:tcW w:w="4535" w:type="dxa"/>
            <w:shd w:val="clear" w:color="auto" w:fill="auto"/>
          </w:tcPr>
          <w:p w14:paraId="5BC5B3BE"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A8D79B5"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133185D8" w14:textId="77777777" w:rsidTr="00A122EB">
        <w:trPr>
          <w:trHeight w:val="340"/>
        </w:trPr>
        <w:tc>
          <w:tcPr>
            <w:tcW w:w="4535" w:type="dxa"/>
            <w:shd w:val="clear" w:color="auto" w:fill="auto"/>
          </w:tcPr>
          <w:p w14:paraId="29F10FED" w14:textId="77777777" w:rsidR="00A01B77" w:rsidRPr="00772025" w:rsidRDefault="00A01B77" w:rsidP="00A122EB">
            <w:pPr>
              <w:tabs>
                <w:tab w:val="left" w:pos="2835"/>
              </w:tabs>
              <w:spacing w:before="40" w:after="40" w:line="240" w:lineRule="auto"/>
              <w:jc w:val="left"/>
              <w:rPr>
                <w:rFonts w:ascii="Ping LCG Regular" w:hAnsi="Ping LCG Regular" w:cs="Arial"/>
                <w:b/>
                <w:sz w:val="18"/>
                <w:szCs w:val="18"/>
                <w:lang w:val="en-US"/>
              </w:rPr>
            </w:pPr>
            <w:r w:rsidRPr="00772025">
              <w:rPr>
                <w:rFonts w:ascii="Ping LCG Regular" w:hAnsi="Ping LCG Regular" w:cs="Arial"/>
                <w:b/>
                <w:sz w:val="18"/>
                <w:szCs w:val="18"/>
                <w:lang w:val="en-US"/>
              </w:rPr>
              <w:t>Full name of legal representative (s), signing the present document</w:t>
            </w:r>
          </w:p>
          <w:p w14:paraId="1FFCCB18"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00822F2"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bl>
    <w:p w14:paraId="6DE86078" w14:textId="77777777" w:rsidR="00A01B77" w:rsidRPr="00772025" w:rsidRDefault="00A01B77" w:rsidP="00A01B77">
      <w:pPr>
        <w:spacing w:before="120" w:line="240" w:lineRule="auto"/>
        <w:jc w:val="left"/>
        <w:rPr>
          <w:rFonts w:ascii="Ping LCG Regular" w:hAnsi="Ping LCG Regular" w:cs="Tahoma"/>
          <w:sz w:val="18"/>
          <w:szCs w:val="18"/>
          <w:lang w:val="en-US"/>
        </w:rPr>
      </w:pPr>
    </w:p>
    <w:tbl>
      <w:tblPr>
        <w:tblW w:w="9071" w:type="dxa"/>
        <w:tblLook w:val="01E0" w:firstRow="1" w:lastRow="1" w:firstColumn="1" w:lastColumn="1" w:noHBand="0" w:noVBand="0"/>
      </w:tblPr>
      <w:tblGrid>
        <w:gridCol w:w="567"/>
        <w:gridCol w:w="2268"/>
        <w:gridCol w:w="5839"/>
        <w:gridCol w:w="397"/>
      </w:tblGrid>
      <w:tr w:rsidR="00A01B77" w:rsidRPr="00772025" w14:paraId="07D14092" w14:textId="77777777" w:rsidTr="00A122EB">
        <w:trPr>
          <w:trHeight w:val="340"/>
        </w:trPr>
        <w:tc>
          <w:tcPr>
            <w:tcW w:w="9071" w:type="dxa"/>
            <w:gridSpan w:val="4"/>
          </w:tcPr>
          <w:p w14:paraId="06C9D3DC"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Authorize with the present</w:t>
            </w:r>
          </w:p>
        </w:tc>
      </w:tr>
      <w:tr w:rsidR="00A01B77" w:rsidRPr="00772025" w14:paraId="26C2F756" w14:textId="77777777" w:rsidTr="00A122EB">
        <w:trPr>
          <w:trHeight w:val="340"/>
        </w:trPr>
        <w:tc>
          <w:tcPr>
            <w:tcW w:w="567" w:type="dxa"/>
          </w:tcPr>
          <w:p w14:paraId="01A6C383"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490112">
              <w:rPr>
                <w:rFonts w:ascii="Ping LCG Regular" w:hAnsi="Ping LCG Regular"/>
                <w:sz w:val="18"/>
                <w:szCs w:val="18"/>
                <w:lang w:val="en-US"/>
              </w:rPr>
            </w:r>
            <w:r w:rsidR="00490112">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8504" w:type="dxa"/>
            <w:gridSpan w:val="3"/>
            <w:shd w:val="clear" w:color="auto" w:fill="auto"/>
          </w:tcPr>
          <w:p w14:paraId="75A71AFB" w14:textId="55344128" w:rsidR="00A01B77" w:rsidRPr="00772025" w:rsidRDefault="00A01B77" w:rsidP="00A122EB">
            <w:pPr>
              <w:spacing w:before="60" w:after="60" w:line="240" w:lineRule="auto"/>
              <w:rPr>
                <w:rFonts w:ascii="Ping LCG Regular" w:hAnsi="Ping LCG Regular" w:cs="Tahoma"/>
                <w:i/>
                <w:sz w:val="18"/>
                <w:szCs w:val="18"/>
                <w:lang w:val="en-US"/>
              </w:rPr>
            </w:pPr>
            <w:r w:rsidRPr="00772025">
              <w:rPr>
                <w:rFonts w:ascii="Ping LCG Regular" w:hAnsi="Ping LCG Regular" w:cs="Tahoma"/>
                <w:b/>
                <w:sz w:val="18"/>
                <w:szCs w:val="18"/>
                <w:lang w:val="en-US"/>
              </w:rPr>
              <w:t xml:space="preserve">Mr. </w:t>
            </w:r>
            <w:r w:rsidR="00F404A1" w:rsidRPr="00772025">
              <w:rPr>
                <w:rFonts w:ascii="Ping LCG Regular" w:hAnsi="Ping LCG Regular" w:cs="Tahoma"/>
                <w:b/>
                <w:sz w:val="18"/>
                <w:szCs w:val="18"/>
                <w:lang w:val="en-US"/>
              </w:rPr>
              <w:t xml:space="preserve">Georgios </w:t>
            </w:r>
            <w:proofErr w:type="spellStart"/>
            <w:r w:rsidR="00F404A1" w:rsidRPr="00772025">
              <w:rPr>
                <w:rFonts w:ascii="Ping LCG Regular" w:hAnsi="Ping LCG Regular" w:cs="Tahoma"/>
                <w:b/>
                <w:sz w:val="18"/>
                <w:szCs w:val="18"/>
                <w:lang w:val="en-US"/>
              </w:rPr>
              <w:t>Stassis</w:t>
            </w:r>
            <w:proofErr w:type="spellEnd"/>
            <w:r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Chairman</w:t>
            </w:r>
            <w:r w:rsidR="005510A9" w:rsidRPr="00772025">
              <w:rPr>
                <w:rFonts w:ascii="Ping LCG Regular" w:hAnsi="Ping LCG Regular" w:cs="Tahoma"/>
                <w:b/>
                <w:sz w:val="18"/>
                <w:szCs w:val="18"/>
                <w:lang w:val="en-US"/>
              </w:rPr>
              <w:t xml:space="preserve"> of the </w:t>
            </w:r>
            <w:proofErr w:type="spellStart"/>
            <w:r w:rsidR="005510A9" w:rsidRPr="00772025">
              <w:rPr>
                <w:rFonts w:ascii="Ping LCG Regular" w:hAnsi="Ping LCG Regular" w:cs="Tahoma"/>
                <w:b/>
                <w:sz w:val="18"/>
                <w:szCs w:val="18"/>
                <w:lang w:val="en-US"/>
              </w:rPr>
              <w:t>BoD</w:t>
            </w:r>
            <w:proofErr w:type="spellEnd"/>
            <w:r w:rsidR="005510A9"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 xml:space="preserve">and </w:t>
            </w:r>
            <w:r w:rsidRPr="00772025">
              <w:rPr>
                <w:rFonts w:ascii="Ping LCG Regular" w:hAnsi="Ping LCG Regular" w:cs="Tahoma"/>
                <w:b/>
                <w:sz w:val="18"/>
                <w:szCs w:val="18"/>
                <w:lang w:val="en-US"/>
              </w:rPr>
              <w:t>Chief Executive Officer</w:t>
            </w:r>
            <w:r w:rsidRPr="00772025">
              <w:rPr>
                <w:rFonts w:ascii="Ping LCG Regular" w:hAnsi="Ping LCG Regular" w:cs="Tahoma"/>
                <w:sz w:val="18"/>
                <w:szCs w:val="18"/>
                <w:lang w:val="en-US"/>
              </w:rPr>
              <w:t>, resident of Athens</w:t>
            </w:r>
            <w:r w:rsidR="00F404A1" w:rsidRPr="00772025">
              <w:rPr>
                <w:rFonts w:ascii="Ping LCG Regular" w:hAnsi="Ping LCG Regular" w:cs="Tahoma"/>
                <w:sz w:val="18"/>
                <w:szCs w:val="18"/>
                <w:lang w:val="en-US"/>
              </w:rPr>
              <w:t>, 30,</w:t>
            </w:r>
            <w:r w:rsidR="00F404A1" w:rsidRPr="00772025">
              <w:rPr>
                <w:rFonts w:ascii="Ping LCG Regular" w:hAnsi="Ping LCG Regular"/>
                <w:sz w:val="18"/>
                <w:szCs w:val="18"/>
              </w:rPr>
              <w:t xml:space="preserve"> </w:t>
            </w:r>
            <w:proofErr w:type="spellStart"/>
            <w:r w:rsidR="00F404A1" w:rsidRPr="00772025">
              <w:rPr>
                <w:rFonts w:ascii="Ping LCG Regular" w:hAnsi="Ping LCG Regular" w:cs="Tahoma"/>
                <w:sz w:val="18"/>
                <w:szCs w:val="18"/>
                <w:lang w:val="en-US"/>
              </w:rPr>
              <w:t>Chalkokondyli</w:t>
            </w:r>
            <w:proofErr w:type="spellEnd"/>
            <w:r w:rsidR="00F404A1"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w:t>
            </w:r>
          </w:p>
        </w:tc>
      </w:tr>
      <w:tr w:rsidR="00A01B77" w:rsidRPr="00772025" w14:paraId="0246029D" w14:textId="77777777" w:rsidTr="00A122EB">
        <w:tc>
          <w:tcPr>
            <w:tcW w:w="567" w:type="dxa"/>
          </w:tcPr>
          <w:p w14:paraId="20976FB1" w14:textId="77777777" w:rsidR="00A01B77" w:rsidRPr="00772025" w:rsidRDefault="00A01B77" w:rsidP="00A122EB">
            <w:pPr>
              <w:spacing w:line="240" w:lineRule="auto"/>
              <w:rPr>
                <w:rFonts w:ascii="Ping LCG Regular" w:hAnsi="Ping LCG Regular"/>
                <w:sz w:val="18"/>
                <w:szCs w:val="18"/>
                <w:lang w:val="en-US"/>
              </w:rPr>
            </w:pPr>
          </w:p>
        </w:tc>
        <w:tc>
          <w:tcPr>
            <w:tcW w:w="8504" w:type="dxa"/>
            <w:gridSpan w:val="3"/>
            <w:shd w:val="clear" w:color="auto" w:fill="auto"/>
          </w:tcPr>
          <w:p w14:paraId="6CA49DC8" w14:textId="00298DDF"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w:t>
            </w:r>
            <w:r w:rsidR="00F82DF8" w:rsidRPr="00772025">
              <w:rPr>
                <w:rFonts w:ascii="Ping LCG Regular" w:hAnsi="Ping LCG Regular" w:cs="Tahoma"/>
                <w:i/>
                <w:sz w:val="18"/>
                <w:szCs w:val="18"/>
                <w:lang w:val="en-US"/>
              </w:rPr>
              <w:t xml:space="preserve">The abovementioned person is the Chairman and Chief Executive Officer of the Board of Directors </w:t>
            </w:r>
            <w:r w:rsidRPr="00772025">
              <w:rPr>
                <w:rFonts w:ascii="Ping LCG Regular" w:hAnsi="Ping LCG Regular" w:cs="Tahoma"/>
                <w:i/>
                <w:sz w:val="18"/>
                <w:szCs w:val="18"/>
                <w:lang w:val="en-US"/>
              </w:rPr>
              <w:t xml:space="preserve">of the Company and can be authorized to vote </w:t>
            </w:r>
            <w:r w:rsidRPr="00772025">
              <w:rPr>
                <w:rFonts w:ascii="Ping LCG Regular" w:hAnsi="Ping LCG Regular" w:cs="Tahoma"/>
                <w:i/>
                <w:sz w:val="18"/>
                <w:szCs w:val="18"/>
                <w:u w:val="single"/>
                <w:lang w:val="en-US"/>
              </w:rPr>
              <w:t>in accordance with your instructions</w:t>
            </w:r>
            <w:r w:rsidRPr="00772025">
              <w:rPr>
                <w:rFonts w:ascii="Ping LCG Regular" w:hAnsi="Ping LCG Regular" w:cs="Tahoma"/>
                <w:i/>
                <w:sz w:val="18"/>
                <w:szCs w:val="18"/>
                <w:lang w:val="en-US"/>
              </w:rPr>
              <w:t xml:space="preserve">. If you do </w:t>
            </w:r>
            <w:r w:rsidRPr="00772025">
              <w:rPr>
                <w:rFonts w:ascii="Ping LCG Regular" w:hAnsi="Ping LCG Regular" w:cs="Tahoma"/>
                <w:i/>
                <w:sz w:val="18"/>
                <w:szCs w:val="18"/>
                <w:u w:val="single"/>
                <w:lang w:val="en-US"/>
              </w:rPr>
              <w:t>not</w:t>
            </w:r>
            <w:r w:rsidRPr="00772025">
              <w:rPr>
                <w:rFonts w:ascii="Ping LCG Regular" w:hAnsi="Ping LCG Regular" w:cs="Tahoma"/>
                <w:i/>
                <w:sz w:val="18"/>
                <w:szCs w:val="18"/>
                <w:lang w:val="en-US"/>
              </w:rPr>
              <w:t xml:space="preserve"> provide specific instructions, it will be assumed that he is authorized to vote </w:t>
            </w:r>
            <w:r w:rsidRPr="00772025">
              <w:rPr>
                <w:rFonts w:ascii="Ping LCG Regular" w:hAnsi="Ping LCG Regular" w:cs="Tahoma"/>
                <w:i/>
                <w:sz w:val="18"/>
                <w:szCs w:val="18"/>
                <w:u w:val="single"/>
                <w:lang w:val="en-US"/>
              </w:rPr>
              <w:t>“in favor (for)”</w:t>
            </w:r>
            <w:r w:rsidRPr="00772025">
              <w:rPr>
                <w:rFonts w:ascii="Ping LCG Regular" w:hAnsi="Ping LCG Regular" w:cs="Tahoma"/>
                <w:i/>
                <w:sz w:val="18"/>
                <w:szCs w:val="18"/>
                <w:lang w:val="en-US"/>
              </w:rPr>
              <w:t xml:space="preserve"> all items of the Daily Agenda.</w:t>
            </w:r>
          </w:p>
        </w:tc>
      </w:tr>
      <w:tr w:rsidR="00A01B77" w:rsidRPr="00772025" w14:paraId="4C127163" w14:textId="77777777" w:rsidTr="00A122EB">
        <w:trPr>
          <w:trHeight w:val="304"/>
        </w:trPr>
        <w:tc>
          <w:tcPr>
            <w:tcW w:w="9071" w:type="dxa"/>
            <w:gridSpan w:val="4"/>
          </w:tcPr>
          <w:p w14:paraId="52DEE560" w14:textId="77777777"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or alternatively the following</w:t>
            </w:r>
            <w:r w:rsidRPr="00772025">
              <w:rPr>
                <w:rStyle w:val="FootnoteReference"/>
                <w:rFonts w:ascii="Ping LCG Regular" w:hAnsi="Ping LCG Regular" w:cs="Tahoma"/>
                <w:sz w:val="18"/>
                <w:szCs w:val="18"/>
                <w:lang w:val="en-US"/>
              </w:rPr>
              <w:footnoteReference w:id="1"/>
            </w:r>
            <w:r w:rsidRPr="00772025">
              <w:rPr>
                <w:rFonts w:ascii="Ping LCG Regular" w:hAnsi="Ping LCG Regular" w:cs="Tahoma"/>
                <w:sz w:val="18"/>
                <w:szCs w:val="18"/>
                <w:lang w:val="en-US"/>
              </w:rPr>
              <w:t>,</w:t>
            </w:r>
            <w:r w:rsidRPr="00772025">
              <w:rPr>
                <w:rStyle w:val="FootnoteReference"/>
                <w:rFonts w:ascii="Ping LCG Regular" w:hAnsi="Ping LCG Regular" w:cs="Tahoma"/>
                <w:sz w:val="18"/>
                <w:szCs w:val="18"/>
                <w:lang w:val="en-US"/>
              </w:rPr>
              <w:footnoteReference w:id="2"/>
            </w:r>
          </w:p>
        </w:tc>
      </w:tr>
      <w:tr w:rsidR="00A01B77" w:rsidRPr="00772025" w14:paraId="1934C94E" w14:textId="77777777" w:rsidTr="00A122EB">
        <w:trPr>
          <w:trHeight w:val="340"/>
        </w:trPr>
        <w:tc>
          <w:tcPr>
            <w:tcW w:w="567" w:type="dxa"/>
          </w:tcPr>
          <w:p w14:paraId="7A94C7D1"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490112">
              <w:rPr>
                <w:rFonts w:ascii="Ping LCG Regular" w:hAnsi="Ping LCG Regular"/>
                <w:sz w:val="18"/>
                <w:szCs w:val="18"/>
                <w:lang w:val="en-US"/>
              </w:rPr>
            </w:r>
            <w:r w:rsidR="00490112">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2268" w:type="dxa"/>
            <w:tcBorders>
              <w:bottom w:val="single" w:sz="4" w:space="0" w:color="A6A6A6" w:themeColor="background1" w:themeShade="A6"/>
            </w:tcBorders>
            <w:shd w:val="clear" w:color="auto" w:fill="auto"/>
          </w:tcPr>
          <w:p w14:paraId="38C2897F" w14:textId="77777777" w:rsidR="00A01B77" w:rsidRPr="00772025" w:rsidRDefault="00A01B77" w:rsidP="00A122EB">
            <w:pPr>
              <w:spacing w:before="60" w:after="60" w:line="240" w:lineRule="auto"/>
              <w:rPr>
                <w:rFonts w:ascii="Ping LCG Regular" w:hAnsi="Ping LCG Regular" w:cs="Tahoma"/>
                <w:i/>
                <w:sz w:val="18"/>
                <w:szCs w:val="18"/>
                <w:lang w:val="en-US"/>
              </w:rPr>
            </w:pPr>
          </w:p>
        </w:tc>
        <w:tc>
          <w:tcPr>
            <w:tcW w:w="6236" w:type="dxa"/>
            <w:gridSpan w:val="2"/>
            <w:tcBorders>
              <w:bottom w:val="single" w:sz="4" w:space="0" w:color="A6A6A6" w:themeColor="background1" w:themeShade="A6"/>
            </w:tcBorders>
            <w:shd w:val="clear" w:color="auto" w:fill="auto"/>
          </w:tcPr>
          <w:p w14:paraId="1A21AE9F" w14:textId="77777777" w:rsidR="00A01B77" w:rsidRPr="00772025" w:rsidRDefault="00A01B77" w:rsidP="00A122EB">
            <w:pPr>
              <w:spacing w:before="60" w:after="60" w:line="240" w:lineRule="auto"/>
              <w:rPr>
                <w:rFonts w:ascii="Ping LCG Regular" w:hAnsi="Ping LCG Regular" w:cs="Tahoma"/>
                <w:i/>
                <w:sz w:val="18"/>
                <w:szCs w:val="18"/>
                <w:lang w:val="en-US"/>
              </w:rPr>
            </w:pPr>
          </w:p>
        </w:tc>
      </w:tr>
      <w:tr w:rsidR="00A01B77" w:rsidRPr="00772025" w14:paraId="15CDCAE9" w14:textId="77777777" w:rsidTr="00A122EB">
        <w:trPr>
          <w:trHeight w:val="340"/>
        </w:trPr>
        <w:tc>
          <w:tcPr>
            <w:tcW w:w="567" w:type="dxa"/>
          </w:tcPr>
          <w:p w14:paraId="191B6A03" w14:textId="77777777" w:rsidR="00A01B77" w:rsidRPr="00772025" w:rsidRDefault="00A01B77" w:rsidP="00A122EB">
            <w:pPr>
              <w:spacing w:before="60" w:after="60" w:line="240" w:lineRule="auto"/>
              <w:rPr>
                <w:rFonts w:ascii="Ping LCG Regular" w:hAnsi="Ping LCG Regular"/>
                <w:sz w:val="18"/>
                <w:szCs w:val="18"/>
                <w:lang w:val="en-US"/>
              </w:rPr>
            </w:pPr>
          </w:p>
        </w:tc>
        <w:tc>
          <w:tcPr>
            <w:tcW w:w="2268" w:type="dxa"/>
            <w:tcBorders>
              <w:top w:val="single" w:sz="4" w:space="0" w:color="A6A6A6" w:themeColor="background1" w:themeShade="A6"/>
            </w:tcBorders>
            <w:shd w:val="clear" w:color="auto" w:fill="auto"/>
          </w:tcPr>
          <w:p w14:paraId="4BBEC32A"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Email</w:t>
            </w:r>
          </w:p>
        </w:tc>
        <w:tc>
          <w:tcPr>
            <w:tcW w:w="6236" w:type="dxa"/>
            <w:gridSpan w:val="2"/>
            <w:tcBorders>
              <w:top w:val="single" w:sz="4" w:space="0" w:color="A6A6A6" w:themeColor="background1" w:themeShade="A6"/>
              <w:bottom w:val="single" w:sz="4" w:space="0" w:color="A6A6A6" w:themeColor="background1" w:themeShade="A6"/>
            </w:tcBorders>
            <w:shd w:val="clear" w:color="auto" w:fill="auto"/>
          </w:tcPr>
          <w:p w14:paraId="7052066F"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4782C53D" w14:textId="77777777" w:rsidTr="00A122EB">
        <w:trPr>
          <w:trHeight w:val="340"/>
        </w:trPr>
        <w:tc>
          <w:tcPr>
            <w:tcW w:w="567" w:type="dxa"/>
          </w:tcPr>
          <w:p w14:paraId="12EE066B" w14:textId="77777777" w:rsidR="00A01B77" w:rsidRPr="00772025" w:rsidRDefault="00A01B77" w:rsidP="00A122EB">
            <w:pPr>
              <w:spacing w:before="60" w:after="60" w:line="240" w:lineRule="auto"/>
              <w:rPr>
                <w:rFonts w:ascii="Ping LCG Regular" w:hAnsi="Ping LCG Regular"/>
                <w:sz w:val="18"/>
                <w:szCs w:val="18"/>
                <w:lang w:val="en-US"/>
              </w:rPr>
            </w:pPr>
          </w:p>
        </w:tc>
        <w:tc>
          <w:tcPr>
            <w:tcW w:w="2268" w:type="dxa"/>
            <w:shd w:val="clear" w:color="auto" w:fill="auto"/>
          </w:tcPr>
          <w:p w14:paraId="5078EC12"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Mobile telephone number</w:t>
            </w:r>
          </w:p>
        </w:tc>
        <w:tc>
          <w:tcPr>
            <w:tcW w:w="6236" w:type="dxa"/>
            <w:gridSpan w:val="2"/>
            <w:tcBorders>
              <w:top w:val="single" w:sz="4" w:space="0" w:color="A6A6A6" w:themeColor="background1" w:themeShade="A6"/>
              <w:bottom w:val="single" w:sz="4" w:space="0" w:color="A6A6A6" w:themeColor="background1" w:themeShade="A6"/>
            </w:tcBorders>
            <w:shd w:val="clear" w:color="auto" w:fill="auto"/>
          </w:tcPr>
          <w:p w14:paraId="4A054707"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0C144867" w14:textId="77777777" w:rsidTr="00A122EB">
        <w:trPr>
          <w:gridAfter w:val="1"/>
          <w:wAfter w:w="397" w:type="dxa"/>
          <w:trHeight w:val="340"/>
        </w:trPr>
        <w:tc>
          <w:tcPr>
            <w:tcW w:w="567" w:type="dxa"/>
          </w:tcPr>
          <w:p w14:paraId="7ED58C00" w14:textId="77777777" w:rsidR="00A01B77" w:rsidRPr="00772025" w:rsidRDefault="00A01B77" w:rsidP="00A122EB">
            <w:pPr>
              <w:spacing w:before="60" w:after="60" w:line="240" w:lineRule="auto"/>
              <w:rPr>
                <w:rFonts w:ascii="Ping LCG Regular" w:hAnsi="Ping LCG Regular"/>
                <w:sz w:val="18"/>
                <w:szCs w:val="18"/>
                <w:lang w:val="en-US"/>
              </w:rPr>
            </w:pPr>
          </w:p>
        </w:tc>
        <w:tc>
          <w:tcPr>
            <w:tcW w:w="8107" w:type="dxa"/>
            <w:gridSpan w:val="2"/>
            <w:shd w:val="clear" w:color="auto" w:fill="auto"/>
          </w:tcPr>
          <w:p w14:paraId="6168C9D8" w14:textId="781ECEB6" w:rsidR="00A01B77" w:rsidRPr="00772025" w:rsidRDefault="00A01B77" w:rsidP="00A122EB">
            <w:pPr>
              <w:spacing w:before="60" w:after="60" w:line="240" w:lineRule="auto"/>
              <w:rPr>
                <w:rFonts w:ascii="Ping LCG Regular" w:hAnsi="Ping LCG Regular" w:cs="Tahoma"/>
                <w:b/>
                <w:i/>
                <w:sz w:val="18"/>
                <w:szCs w:val="18"/>
                <w:u w:val="single"/>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649C866D"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To whom I give the order, the authorization and the right, to represent me / the legal person</w:t>
      </w:r>
      <w:r w:rsidRPr="00772025">
        <w:rPr>
          <w:rStyle w:val="FootnoteReference"/>
          <w:rFonts w:ascii="Ping LCG Regular" w:hAnsi="Ping LCG Regular" w:cs="Tahoma"/>
          <w:sz w:val="18"/>
          <w:szCs w:val="18"/>
          <w:lang w:val="en-US"/>
        </w:rPr>
        <w:footnoteReference w:id="3"/>
      </w:r>
      <w:r w:rsidRPr="00772025">
        <w:rPr>
          <w:rFonts w:ascii="Ping LCG Regular" w:hAnsi="Ping LCG Regular" w:cs="Tahoma"/>
          <w:sz w:val="18"/>
          <w:szCs w:val="18"/>
          <w:lang w:val="en-US"/>
        </w:rPr>
        <w:t xml:space="preserve"> for the abovementioned number of shares or for the shares that I possess on the record date at the </w:t>
      </w:r>
      <w:r w:rsidR="00013E95" w:rsidRPr="00772025">
        <w:rPr>
          <w:rFonts w:ascii="Ping LCG Regular" w:hAnsi="Ping LCG Regular" w:cs="Tahoma"/>
          <w:sz w:val="18"/>
          <w:szCs w:val="18"/>
          <w:lang w:val="en-US"/>
        </w:rPr>
        <w:t>Extraordinary</w:t>
      </w:r>
      <w:r w:rsidRPr="00772025">
        <w:rPr>
          <w:rFonts w:ascii="Ping LCG Regular" w:hAnsi="Ping LCG Regular" w:cs="Tahoma"/>
          <w:sz w:val="18"/>
          <w:szCs w:val="18"/>
          <w:lang w:val="en-US"/>
        </w:rPr>
        <w:t xml:space="preserve"> General Meeting of </w:t>
      </w:r>
      <w:r w:rsidR="009C0B6D"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which will be convened by teleconference on </w:t>
      </w:r>
      <w:r w:rsidR="009C0B6D" w:rsidRPr="00772025">
        <w:rPr>
          <w:rFonts w:ascii="Ping LCG Regular" w:hAnsi="Ping LCG Regular" w:cs="Tahoma"/>
          <w:sz w:val="18"/>
          <w:szCs w:val="18"/>
          <w:lang w:val="en-US"/>
        </w:rPr>
        <w:t>June 4, 2021</w:t>
      </w:r>
      <w:r w:rsidRPr="00772025">
        <w:rPr>
          <w:rFonts w:ascii="Ping LCG Regular" w:hAnsi="Ping LCG Regular" w:cs="Tahoma"/>
          <w:sz w:val="18"/>
          <w:szCs w:val="18"/>
          <w:lang w:val="en-US"/>
        </w:rPr>
        <w:t xml:space="preserve"> at </w:t>
      </w:r>
      <w:r w:rsidR="009C0B6D" w:rsidRPr="00772025">
        <w:rPr>
          <w:rFonts w:ascii="Ping LCG Regular" w:hAnsi="Ping LCG Regular" w:cs="Tahoma"/>
          <w:sz w:val="18"/>
          <w:szCs w:val="18"/>
          <w:lang w:val="en-US"/>
        </w:rPr>
        <w:t>11</w:t>
      </w:r>
      <w:r w:rsidRPr="00772025">
        <w:rPr>
          <w:rFonts w:ascii="Ping LCG Regular" w:hAnsi="Ping LCG Regular" w:cs="Tahoma"/>
          <w:sz w:val="18"/>
          <w:szCs w:val="18"/>
          <w:lang w:val="en-US"/>
        </w:rPr>
        <w:t>:00</w:t>
      </w:r>
      <w:r w:rsidR="004E6653" w:rsidRPr="00772025">
        <w:rPr>
          <w:rFonts w:ascii="Ping LCG Regular" w:hAnsi="Ping LCG Regular" w:cs="Tahoma"/>
          <w:sz w:val="18"/>
          <w:szCs w:val="18"/>
          <w:lang w:val="en-US"/>
        </w:rPr>
        <w:t xml:space="preserve"> a.m.</w:t>
      </w:r>
      <w:r w:rsidRPr="00772025">
        <w:rPr>
          <w:rFonts w:ascii="Ping LCG Regular" w:hAnsi="Ping LCG Regular" w:cs="Tahoma"/>
          <w:sz w:val="18"/>
          <w:szCs w:val="18"/>
          <w:lang w:val="en-US"/>
        </w:rPr>
        <w:t xml:space="preserve"> in Athens, </w:t>
      </w:r>
      <w:r w:rsidR="009C0B6D" w:rsidRPr="00772025">
        <w:rPr>
          <w:rFonts w:ascii="Ping LCG Regular" w:hAnsi="Ping LCG Regular" w:cs="Tahoma"/>
          <w:sz w:val="18"/>
          <w:szCs w:val="18"/>
          <w:lang w:val="en-US"/>
        </w:rPr>
        <w:t xml:space="preserve">30, </w:t>
      </w:r>
      <w:proofErr w:type="spellStart"/>
      <w:r w:rsidR="009C0B6D" w:rsidRPr="00772025">
        <w:rPr>
          <w:rFonts w:ascii="Ping LCG Regular" w:hAnsi="Ping LCG Regular" w:cs="Tahoma"/>
          <w:sz w:val="18"/>
          <w:szCs w:val="18"/>
          <w:lang w:val="en-US"/>
        </w:rPr>
        <w:t>Chalkokondyli</w:t>
      </w:r>
      <w:proofErr w:type="spellEnd"/>
      <w:r w:rsidR="009C0B6D"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 “</w:t>
      </w:r>
      <w:r w:rsidR="006C0262" w:rsidRPr="00772025">
        <w:rPr>
          <w:rFonts w:ascii="Ping LCG Regular" w:hAnsi="Ping LCG Regular" w:cs="Tahoma"/>
          <w:sz w:val="18"/>
          <w:szCs w:val="18"/>
          <w:lang w:val="en-US"/>
        </w:rPr>
        <w:t>Board of Directors</w:t>
      </w:r>
      <w:r w:rsidRPr="00772025">
        <w:rPr>
          <w:rFonts w:ascii="Ping LCG Regular" w:hAnsi="Ping LCG Regular" w:cs="Tahoma"/>
          <w:sz w:val="18"/>
          <w:szCs w:val="18"/>
          <w:lang w:val="en-US"/>
        </w:rPr>
        <w:t xml:space="preserve">” hall, and </w:t>
      </w:r>
      <w:r w:rsidRPr="00772025">
        <w:rPr>
          <w:rFonts w:ascii="Ping LCG Regular" w:hAnsi="Ping LCG Regular" w:cs="Tahoma"/>
          <w:b/>
          <w:bCs/>
          <w:sz w:val="18"/>
          <w:szCs w:val="18"/>
          <w:lang w:val="en-US"/>
        </w:rPr>
        <w:t xml:space="preserve">to vote by </w:t>
      </w:r>
      <w:r w:rsidR="009C0B6D" w:rsidRPr="00772025">
        <w:rPr>
          <w:rFonts w:ascii="Ping LCG Regular" w:hAnsi="Ping LCG Regular" w:cs="Tahoma"/>
          <w:b/>
          <w:bCs/>
          <w:sz w:val="18"/>
          <w:szCs w:val="18"/>
          <w:lang w:val="en-US"/>
        </w:rPr>
        <w:t>03.06.2021</w:t>
      </w:r>
      <w:r w:rsidRPr="00772025">
        <w:rPr>
          <w:rFonts w:ascii="Ping LCG Regular" w:hAnsi="Ping LCG Regular" w:cs="Tahoma"/>
          <w:b/>
          <w:bCs/>
          <w:sz w:val="18"/>
          <w:szCs w:val="18"/>
          <w:lang w:val="en-US"/>
        </w:rPr>
        <w:t xml:space="preserve"> at </w:t>
      </w:r>
      <w:r w:rsidR="009C0B6D" w:rsidRPr="00772025">
        <w:rPr>
          <w:rFonts w:ascii="Ping LCG Regular" w:hAnsi="Ping LCG Regular" w:cs="Tahoma"/>
          <w:b/>
          <w:bCs/>
          <w:sz w:val="18"/>
          <w:szCs w:val="18"/>
          <w:lang w:val="en-US"/>
        </w:rPr>
        <w:t>11</w:t>
      </w:r>
      <w:r w:rsidRPr="00772025">
        <w:rPr>
          <w:rFonts w:ascii="Ping LCG Regular" w:hAnsi="Ping LCG Regular" w:cs="Tahoma"/>
          <w:b/>
          <w:bCs/>
          <w:sz w:val="18"/>
          <w:szCs w:val="18"/>
          <w:lang w:val="en-US"/>
        </w:rPr>
        <w:t>.00</w:t>
      </w:r>
      <w:r w:rsidR="004E6653" w:rsidRPr="00772025">
        <w:rPr>
          <w:rFonts w:ascii="Ping LCG Regular" w:hAnsi="Ping LCG Regular" w:cs="Tahoma"/>
          <w:b/>
          <w:bCs/>
          <w:sz w:val="18"/>
          <w:szCs w:val="18"/>
          <w:lang w:val="en-US"/>
        </w:rPr>
        <w:t xml:space="preserve"> 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repetitive, or following a recess or postponement of the Meeting or on the postponement of the discussion on all or part of the items of the daily agenda as follows</w:t>
      </w:r>
      <w:r w:rsidRPr="00772025">
        <w:rPr>
          <w:rStyle w:val="FootnoteReference"/>
          <w:rFonts w:ascii="Ping LCG Regular" w:hAnsi="Ping LCG Regular" w:cs="Tahoma"/>
          <w:sz w:val="18"/>
          <w:szCs w:val="18"/>
          <w:lang w:val="en-US"/>
        </w:rPr>
        <w:footnoteReference w:id="4"/>
      </w:r>
      <w:r w:rsidRPr="00772025">
        <w:rPr>
          <w:rFonts w:ascii="Ping LCG Regular" w:hAnsi="Ping LCG Regular" w:cs="Tahoma"/>
          <w:sz w:val="18"/>
          <w:szCs w:val="18"/>
          <w:lang w:val="en-US"/>
        </w:rPr>
        <w:t>:</w:t>
      </w:r>
    </w:p>
    <w:p w14:paraId="1BF76379" w14:textId="5F97C49D" w:rsidR="008F0B9D" w:rsidRPr="00772025" w:rsidRDefault="008F0B9D" w:rsidP="00A01B77">
      <w:pPr>
        <w:spacing w:before="120" w:line="240" w:lineRule="auto"/>
        <w:rPr>
          <w:rFonts w:ascii="Ping LCG Regular" w:hAnsi="Ping LCG Regular" w:cs="Tahoma"/>
          <w:sz w:val="18"/>
          <w:szCs w:val="18"/>
          <w:lang w:val="en-US"/>
        </w:rPr>
      </w:pPr>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p w14:paraId="483CA6D1" w14:textId="59D8853A" w:rsidR="008F0B9D" w:rsidRPr="00772025" w:rsidRDefault="008F0B9D" w:rsidP="00A01B77">
      <w:pPr>
        <w:spacing w:before="120" w:line="240" w:lineRule="auto"/>
        <w:rPr>
          <w:rFonts w:ascii="Ping LCG Regular" w:hAnsi="Ping LCG Regular" w:cs="Tahoma"/>
          <w:sz w:val="18"/>
          <w:szCs w:val="18"/>
          <w:lang w:val="en-US"/>
        </w:rPr>
      </w:pPr>
    </w:p>
    <w:p w14:paraId="627BF216" w14:textId="48032509" w:rsidR="008F0B9D" w:rsidRPr="00772025" w:rsidRDefault="008F0B9D" w:rsidP="00A01B77">
      <w:pPr>
        <w:spacing w:before="120" w:line="240" w:lineRule="auto"/>
        <w:rPr>
          <w:rFonts w:ascii="Ping LCG Regular" w:hAnsi="Ping LCG Regular" w:cs="Tahoma"/>
          <w:sz w:val="18"/>
          <w:szCs w:val="18"/>
          <w:lang w:val="en-US"/>
        </w:rPr>
      </w:pPr>
    </w:p>
    <w:p w14:paraId="3BB0AB74" w14:textId="77777777" w:rsidR="008F0B9D" w:rsidRPr="00772025" w:rsidRDefault="008F0B9D" w:rsidP="00A01B77">
      <w:pPr>
        <w:spacing w:before="120" w:line="240" w:lineRule="auto"/>
        <w:rPr>
          <w:rFonts w:ascii="Ping LCG Regular" w:hAnsi="Ping LCG Regular" w:cs="Tahoma"/>
          <w:sz w:val="18"/>
          <w:szCs w:val="18"/>
          <w:lang w:val="en-US"/>
        </w:rPr>
      </w:pPr>
    </w:p>
    <w:tbl>
      <w:tblPr>
        <w:tblW w:w="907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207"/>
        <w:gridCol w:w="898"/>
        <w:gridCol w:w="1000"/>
        <w:gridCol w:w="966"/>
      </w:tblGrid>
      <w:tr w:rsidR="00A01B77" w:rsidRPr="00772025" w14:paraId="29BC9518" w14:textId="77777777" w:rsidTr="00A122EB">
        <w:trPr>
          <w:trHeight w:val="340"/>
        </w:trPr>
        <w:tc>
          <w:tcPr>
            <w:tcW w:w="6350" w:type="dxa"/>
            <w:shd w:val="clear" w:color="auto" w:fill="BFBFBF" w:themeFill="background1" w:themeFillShade="BF"/>
            <w:vAlign w:val="center"/>
          </w:tcPr>
          <w:p w14:paraId="4CA23AB8" w14:textId="77777777" w:rsidR="00A01B77" w:rsidRPr="00772025" w:rsidRDefault="00A01B77" w:rsidP="00A122EB">
            <w:pPr>
              <w:keepNext/>
              <w:spacing w:before="40" w:after="40" w:line="240" w:lineRule="auto"/>
              <w:jc w:val="left"/>
              <w:rPr>
                <w:rFonts w:ascii="Ping LCG Regular" w:hAnsi="Ping LCG Regular" w:cs="Tahoma"/>
                <w:color w:val="006EAB"/>
                <w:sz w:val="18"/>
                <w:szCs w:val="18"/>
                <w:lang w:val="en-US"/>
              </w:rPr>
            </w:pPr>
          </w:p>
        </w:tc>
        <w:tc>
          <w:tcPr>
            <w:tcW w:w="907" w:type="dxa"/>
            <w:shd w:val="clear" w:color="auto" w:fill="BFBFBF" w:themeFill="background1" w:themeFillShade="BF"/>
            <w:vAlign w:val="center"/>
          </w:tcPr>
          <w:p w14:paraId="06B38428" w14:textId="77777777" w:rsidR="00A01B77" w:rsidRPr="00772025" w:rsidRDefault="00A01B77" w:rsidP="00A122EB">
            <w:pPr>
              <w:keepNext/>
              <w:spacing w:before="40" w:after="40" w:line="240" w:lineRule="auto"/>
              <w:jc w:val="center"/>
              <w:rPr>
                <w:rFonts w:ascii="Ping LCG Regular" w:hAnsi="Ping LCG Regular"/>
                <w:b/>
                <w:bCs/>
                <w:color w:val="006EAB"/>
                <w:sz w:val="18"/>
                <w:szCs w:val="18"/>
                <w:lang w:val="en-US"/>
              </w:rPr>
            </w:pPr>
            <w:r w:rsidRPr="00772025">
              <w:rPr>
                <w:rFonts w:ascii="Ping LCG Regular" w:hAnsi="Ping LCG Regular"/>
                <w:b/>
                <w:bCs/>
                <w:color w:val="006EAB"/>
                <w:sz w:val="18"/>
                <w:szCs w:val="18"/>
                <w:lang w:val="en-US"/>
              </w:rPr>
              <w:t>FOR</w:t>
            </w:r>
          </w:p>
        </w:tc>
        <w:tc>
          <w:tcPr>
            <w:tcW w:w="907" w:type="dxa"/>
            <w:shd w:val="clear" w:color="auto" w:fill="BFBFBF" w:themeFill="background1" w:themeFillShade="BF"/>
            <w:vAlign w:val="center"/>
          </w:tcPr>
          <w:p w14:paraId="2FE1B345" w14:textId="77777777" w:rsidR="00A01B77" w:rsidRPr="00772025" w:rsidRDefault="00A01B77" w:rsidP="00A122EB">
            <w:pPr>
              <w:keepNext/>
              <w:spacing w:before="40" w:after="40" w:line="240" w:lineRule="auto"/>
              <w:jc w:val="center"/>
              <w:rPr>
                <w:rFonts w:ascii="Ping LCG Regular" w:hAnsi="Ping LCG Regular"/>
                <w:b/>
                <w:bCs/>
                <w:color w:val="006EAB"/>
                <w:sz w:val="18"/>
                <w:szCs w:val="18"/>
                <w:lang w:val="en-US"/>
              </w:rPr>
            </w:pPr>
            <w:r w:rsidRPr="00772025">
              <w:rPr>
                <w:rFonts w:ascii="Ping LCG Regular" w:hAnsi="Ping LCG Regular"/>
                <w:b/>
                <w:bCs/>
                <w:color w:val="006EAB"/>
                <w:sz w:val="18"/>
                <w:szCs w:val="18"/>
                <w:lang w:val="en-US"/>
              </w:rPr>
              <w:t>AGAINST</w:t>
            </w:r>
          </w:p>
        </w:tc>
        <w:tc>
          <w:tcPr>
            <w:tcW w:w="907" w:type="dxa"/>
            <w:shd w:val="clear" w:color="auto" w:fill="BFBFBF" w:themeFill="background1" w:themeFillShade="BF"/>
            <w:vAlign w:val="center"/>
          </w:tcPr>
          <w:p w14:paraId="00A73583" w14:textId="77777777" w:rsidR="00A01B77" w:rsidRPr="00772025" w:rsidRDefault="00A01B77" w:rsidP="00A122EB">
            <w:pPr>
              <w:keepNext/>
              <w:spacing w:before="40" w:after="40" w:line="240" w:lineRule="auto"/>
              <w:jc w:val="center"/>
              <w:rPr>
                <w:rFonts w:ascii="Ping LCG Regular" w:hAnsi="Ping LCG Regular"/>
                <w:b/>
                <w:color w:val="006EAB"/>
                <w:sz w:val="18"/>
                <w:szCs w:val="18"/>
                <w:lang w:val="en-US"/>
              </w:rPr>
            </w:pPr>
            <w:r w:rsidRPr="00772025">
              <w:rPr>
                <w:rFonts w:ascii="Ping LCG Regular" w:hAnsi="Ping LCG Regular"/>
                <w:b/>
                <w:bCs/>
                <w:color w:val="006EAB"/>
                <w:sz w:val="18"/>
                <w:szCs w:val="18"/>
                <w:lang w:val="en-US"/>
              </w:rPr>
              <w:t>ABSTAIN</w:t>
            </w:r>
          </w:p>
        </w:tc>
      </w:tr>
      <w:tr w:rsidR="00A01B77" w:rsidRPr="00772025" w14:paraId="25A2DB24" w14:textId="77777777" w:rsidTr="00A122EB">
        <w:trPr>
          <w:trHeight w:val="340"/>
        </w:trPr>
        <w:tc>
          <w:tcPr>
            <w:tcW w:w="6350" w:type="dxa"/>
            <w:shd w:val="clear" w:color="auto" w:fill="auto"/>
            <w:vAlign w:val="center"/>
          </w:tcPr>
          <w:p w14:paraId="42B07D88" w14:textId="1046ABDE" w:rsidR="00A01B77" w:rsidRPr="00772025" w:rsidRDefault="00A01B77" w:rsidP="00A122EB">
            <w:pPr>
              <w:spacing w:before="40" w:after="40" w:line="240" w:lineRule="auto"/>
              <w:jc w:val="left"/>
              <w:rPr>
                <w:rFonts w:ascii="Ping LCG Regular" w:hAnsi="Ping LCG Regular" w:cs="Arial"/>
                <w:i/>
                <w:snapToGrid w:val="0"/>
                <w:color w:val="006EAB"/>
                <w:sz w:val="18"/>
                <w:szCs w:val="18"/>
                <w:lang w:val="en-US"/>
              </w:rPr>
            </w:pPr>
            <w:r w:rsidRPr="00772025">
              <w:rPr>
                <w:rFonts w:ascii="Ping LCG Regular" w:hAnsi="Ping LCG Regular" w:cs="Tahoma"/>
                <w:b/>
                <w:color w:val="006EAB"/>
                <w:sz w:val="18"/>
                <w:szCs w:val="18"/>
                <w:lang w:val="en-US"/>
              </w:rPr>
              <w:t>FOR ALL ITEMS ON THE AGENDA</w:t>
            </w:r>
          </w:p>
        </w:tc>
        <w:tc>
          <w:tcPr>
            <w:tcW w:w="907" w:type="dxa"/>
            <w:shd w:val="clear" w:color="auto" w:fill="auto"/>
            <w:vAlign w:val="center"/>
          </w:tcPr>
          <w:p w14:paraId="07CC9826" w14:textId="77777777" w:rsidR="00A01B77" w:rsidRPr="00772025"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490112">
              <w:rPr>
                <w:rFonts w:ascii="Ping LCG Regular" w:hAnsi="Ping LCG Regular"/>
                <w:color w:val="006EAB"/>
                <w:sz w:val="18"/>
                <w:szCs w:val="18"/>
                <w:lang w:val="en-US"/>
              </w:rPr>
            </w:r>
            <w:r w:rsidR="00490112">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07" w:type="dxa"/>
            <w:shd w:val="clear" w:color="auto" w:fill="auto"/>
            <w:vAlign w:val="center"/>
          </w:tcPr>
          <w:p w14:paraId="4EF59B68" w14:textId="77777777" w:rsidR="00A01B77" w:rsidRPr="00772025"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490112">
              <w:rPr>
                <w:rFonts w:ascii="Ping LCG Regular" w:hAnsi="Ping LCG Regular"/>
                <w:color w:val="006EAB"/>
                <w:sz w:val="18"/>
                <w:szCs w:val="18"/>
                <w:lang w:val="en-US"/>
              </w:rPr>
            </w:r>
            <w:r w:rsidR="00490112">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07" w:type="dxa"/>
            <w:shd w:val="clear" w:color="auto" w:fill="auto"/>
            <w:vAlign w:val="center"/>
          </w:tcPr>
          <w:p w14:paraId="3F57C810" w14:textId="77777777" w:rsidR="00A01B77" w:rsidRPr="00772025"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490112">
              <w:rPr>
                <w:rFonts w:ascii="Ping LCG Regular" w:hAnsi="Ping LCG Regular"/>
                <w:color w:val="006EAB"/>
                <w:sz w:val="18"/>
                <w:szCs w:val="18"/>
                <w:lang w:val="en-US"/>
              </w:rPr>
            </w:r>
            <w:r w:rsidR="00490112">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r>
    </w:tbl>
    <w:p w14:paraId="73BDB8EF" w14:textId="77777777" w:rsidR="00A01B77" w:rsidRPr="00772025" w:rsidRDefault="00A01B77" w:rsidP="00A01B77">
      <w:pPr>
        <w:spacing w:before="120" w:after="0"/>
        <w:rPr>
          <w:rFonts w:ascii="Ping LCG Regular" w:hAnsi="Ping LCG Regular" w:cs="Tahoma"/>
          <w:b/>
          <w:color w:val="556062"/>
          <w:sz w:val="18"/>
          <w:szCs w:val="18"/>
          <w:lang w:val="en-US"/>
        </w:rPr>
      </w:pPr>
      <w:r w:rsidRPr="00772025">
        <w:rPr>
          <w:rFonts w:ascii="Ping LCG Regular" w:hAnsi="Ping LCG Regular" w:cs="Tahoma"/>
          <w:b/>
          <w:color w:val="556062"/>
          <w:sz w:val="18"/>
          <w:szCs w:val="18"/>
          <w:lang w:val="en-US"/>
        </w:rPr>
        <w:t>Or:</w:t>
      </w:r>
    </w:p>
    <w:p w14:paraId="506CA641" w14:textId="023C2849" w:rsidR="00A01B77" w:rsidRPr="00772025" w:rsidRDefault="00A01B77" w:rsidP="00A01B77">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07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Look w:val="01E0" w:firstRow="1" w:lastRow="1" w:firstColumn="1" w:lastColumn="1" w:noHBand="0" w:noVBand="0"/>
      </w:tblPr>
      <w:tblGrid>
        <w:gridCol w:w="624"/>
        <w:gridCol w:w="5726"/>
        <w:gridCol w:w="907"/>
        <w:gridCol w:w="907"/>
        <w:gridCol w:w="907"/>
      </w:tblGrid>
      <w:tr w:rsidR="00A01B77" w:rsidRPr="00772025" w14:paraId="054012BC" w14:textId="77777777" w:rsidTr="00A122EB">
        <w:trPr>
          <w:cantSplit/>
          <w:trHeight w:val="340"/>
          <w:tblHeader/>
          <w:jc w:val="center"/>
        </w:trPr>
        <w:tc>
          <w:tcPr>
            <w:tcW w:w="624" w:type="dxa"/>
            <w:shd w:val="clear" w:color="auto" w:fill="D9D9D9" w:themeFill="background1" w:themeFillShade="D9"/>
            <w:vAlign w:val="center"/>
          </w:tcPr>
          <w:p w14:paraId="7332E826" w14:textId="77777777" w:rsidR="00A01B77" w:rsidRPr="00772025" w:rsidRDefault="00A01B77" w:rsidP="00A122EB">
            <w:pPr>
              <w:spacing w:after="0"/>
              <w:jc w:val="center"/>
              <w:rPr>
                <w:rFonts w:ascii="Ping LCG Regular" w:hAnsi="Ping LCG Regular" w:cs="Arial"/>
                <w:b/>
                <w:color w:val="006EAB"/>
                <w:sz w:val="18"/>
                <w:szCs w:val="18"/>
                <w:lang w:val="en-US"/>
              </w:rPr>
            </w:pPr>
            <w:r w:rsidRPr="00772025">
              <w:rPr>
                <w:rFonts w:ascii="Ping LCG Regular" w:hAnsi="Ping LCG Regular" w:cs="Arial"/>
                <w:b/>
                <w:color w:val="006EAB"/>
                <w:sz w:val="18"/>
                <w:szCs w:val="18"/>
                <w:lang w:val="en-US"/>
              </w:rPr>
              <w:t>Item</w:t>
            </w:r>
          </w:p>
        </w:tc>
        <w:tc>
          <w:tcPr>
            <w:tcW w:w="5726" w:type="dxa"/>
            <w:shd w:val="clear" w:color="auto" w:fill="D9D9D9" w:themeFill="background1" w:themeFillShade="D9"/>
            <w:vAlign w:val="center"/>
          </w:tcPr>
          <w:p w14:paraId="0300E029" w14:textId="77777777" w:rsidR="00A01B77" w:rsidRPr="00772025" w:rsidRDefault="00A01B77" w:rsidP="00A122EB">
            <w:pPr>
              <w:spacing w:after="0"/>
              <w:rPr>
                <w:rFonts w:ascii="Ping LCG Regular" w:hAnsi="Ping LCG Regular"/>
                <w:b/>
                <w:bCs/>
                <w:color w:val="006EAB"/>
                <w:sz w:val="18"/>
                <w:szCs w:val="18"/>
                <w:lang w:val="en-US"/>
              </w:rPr>
            </w:pPr>
          </w:p>
        </w:tc>
        <w:tc>
          <w:tcPr>
            <w:tcW w:w="907" w:type="dxa"/>
            <w:shd w:val="clear" w:color="auto" w:fill="D9D9D9" w:themeFill="background1" w:themeFillShade="D9"/>
            <w:vAlign w:val="center"/>
          </w:tcPr>
          <w:p w14:paraId="53A43D2A" w14:textId="77777777" w:rsidR="00A01B77" w:rsidRPr="00772025" w:rsidRDefault="00A01B77" w:rsidP="00A122EB">
            <w:pPr>
              <w:spacing w:after="0"/>
              <w:jc w:val="center"/>
              <w:rPr>
                <w:rFonts w:ascii="Ping LCG Regular" w:hAnsi="Ping LCG Regular"/>
                <w:b/>
                <w:bCs/>
                <w:color w:val="006EAB"/>
                <w:sz w:val="18"/>
                <w:szCs w:val="18"/>
                <w:lang w:val="en-US"/>
              </w:rPr>
            </w:pPr>
            <w:r w:rsidRPr="00772025">
              <w:rPr>
                <w:rFonts w:ascii="Ping LCG Regular" w:hAnsi="Ping LCG Regular"/>
                <w:b/>
                <w:bCs/>
                <w:color w:val="006EAB"/>
                <w:sz w:val="18"/>
                <w:szCs w:val="18"/>
                <w:lang w:val="en-US"/>
              </w:rPr>
              <w:t>FOR</w:t>
            </w:r>
          </w:p>
        </w:tc>
        <w:tc>
          <w:tcPr>
            <w:tcW w:w="907" w:type="dxa"/>
            <w:shd w:val="clear" w:color="auto" w:fill="D9D9D9" w:themeFill="background1" w:themeFillShade="D9"/>
            <w:vAlign w:val="center"/>
          </w:tcPr>
          <w:p w14:paraId="5ECB5DE8" w14:textId="77777777" w:rsidR="00A01B77" w:rsidRPr="00772025" w:rsidRDefault="00A01B77" w:rsidP="00A122EB">
            <w:pPr>
              <w:spacing w:after="0"/>
              <w:jc w:val="center"/>
              <w:rPr>
                <w:rFonts w:ascii="Ping LCG Regular" w:hAnsi="Ping LCG Regular"/>
                <w:b/>
                <w:bCs/>
                <w:color w:val="006EAB"/>
                <w:sz w:val="18"/>
                <w:szCs w:val="18"/>
                <w:lang w:val="en-US"/>
              </w:rPr>
            </w:pPr>
            <w:r w:rsidRPr="00772025">
              <w:rPr>
                <w:rFonts w:ascii="Ping LCG Regular" w:hAnsi="Ping LCG Regular"/>
                <w:b/>
                <w:bCs/>
                <w:color w:val="006EAB"/>
                <w:sz w:val="18"/>
                <w:szCs w:val="18"/>
                <w:lang w:val="en-US"/>
              </w:rPr>
              <w:t>AGAINST</w:t>
            </w:r>
          </w:p>
        </w:tc>
        <w:tc>
          <w:tcPr>
            <w:tcW w:w="907" w:type="dxa"/>
            <w:shd w:val="clear" w:color="auto" w:fill="D9D9D9" w:themeFill="background1" w:themeFillShade="D9"/>
            <w:vAlign w:val="center"/>
          </w:tcPr>
          <w:p w14:paraId="3ADE8278" w14:textId="77777777" w:rsidR="00A01B77" w:rsidRPr="00772025" w:rsidRDefault="00A01B77" w:rsidP="00A122EB">
            <w:pPr>
              <w:spacing w:after="0"/>
              <w:jc w:val="center"/>
              <w:rPr>
                <w:rFonts w:ascii="Ping LCG Regular" w:hAnsi="Ping LCG Regular"/>
                <w:b/>
                <w:color w:val="006EAB"/>
                <w:sz w:val="18"/>
                <w:szCs w:val="18"/>
                <w:lang w:val="en-US"/>
              </w:rPr>
            </w:pPr>
            <w:r w:rsidRPr="00772025">
              <w:rPr>
                <w:rFonts w:ascii="Ping LCG Regular" w:hAnsi="Ping LCG Regular"/>
                <w:b/>
                <w:bCs/>
                <w:color w:val="006EAB"/>
                <w:sz w:val="18"/>
                <w:szCs w:val="18"/>
                <w:lang w:val="en-US"/>
              </w:rPr>
              <w:t>ABSTAIN</w:t>
            </w:r>
          </w:p>
        </w:tc>
      </w:tr>
      <w:tr w:rsidR="00A01B77" w:rsidRPr="00772025" w14:paraId="5BDDA0C0" w14:textId="77777777" w:rsidTr="00A122EB">
        <w:trPr>
          <w:cantSplit/>
          <w:trHeight w:val="340"/>
          <w:jc w:val="center"/>
        </w:trPr>
        <w:tc>
          <w:tcPr>
            <w:tcW w:w="624" w:type="dxa"/>
            <w:vAlign w:val="center"/>
          </w:tcPr>
          <w:p w14:paraId="061B614F" w14:textId="77777777" w:rsidR="00A01B77" w:rsidRPr="00772025" w:rsidRDefault="00A01B77" w:rsidP="00A122EB">
            <w:pPr>
              <w:spacing w:before="40" w:after="40" w:line="240" w:lineRule="auto"/>
              <w:jc w:val="center"/>
              <w:rPr>
                <w:rFonts w:ascii="Ping LCG Regular" w:hAnsi="Ping LCG Regular"/>
                <w:bCs/>
                <w:color w:val="006EAB"/>
                <w:sz w:val="18"/>
                <w:szCs w:val="18"/>
                <w:lang w:val="en-US"/>
              </w:rPr>
            </w:pPr>
            <w:r w:rsidRPr="00772025">
              <w:rPr>
                <w:rFonts w:ascii="Ping LCG Regular" w:hAnsi="Ping LCG Regular" w:cs="Arial"/>
                <w:b/>
                <w:color w:val="006EAB"/>
                <w:sz w:val="18"/>
                <w:szCs w:val="18"/>
                <w:lang w:val="en-US"/>
              </w:rPr>
              <w:t>1</w:t>
            </w:r>
            <w:r w:rsidRPr="00772025">
              <w:rPr>
                <w:rFonts w:ascii="Ping LCG Regular" w:hAnsi="Ping LCG Regular" w:cs="Arial"/>
                <w:b/>
                <w:color w:val="006EAB"/>
                <w:sz w:val="18"/>
                <w:szCs w:val="18"/>
                <w:vertAlign w:val="superscript"/>
                <w:lang w:val="en-US"/>
              </w:rPr>
              <w:t>st</w:t>
            </w:r>
          </w:p>
        </w:tc>
        <w:tc>
          <w:tcPr>
            <w:tcW w:w="5726" w:type="dxa"/>
            <w:vAlign w:val="center"/>
          </w:tcPr>
          <w:p w14:paraId="6370D137" w14:textId="167C0202" w:rsidR="00A01B77" w:rsidRPr="00772025" w:rsidRDefault="006C0262" w:rsidP="00A122EB">
            <w:pPr>
              <w:tabs>
                <w:tab w:val="left" w:pos="4171"/>
              </w:tabs>
              <w:spacing w:before="60" w:after="60" w:line="240" w:lineRule="auto"/>
              <w:rPr>
                <w:rFonts w:ascii="Ping LCG Regular" w:hAnsi="Ping LCG Regular" w:cs="Tahoma"/>
                <w:snapToGrid w:val="0"/>
                <w:sz w:val="18"/>
                <w:szCs w:val="18"/>
                <w:highlight w:val="yellow"/>
                <w:lang w:val="en-US"/>
              </w:rPr>
            </w:pPr>
            <w:r w:rsidRPr="00772025">
              <w:rPr>
                <w:rFonts w:ascii="Ping LCG Regular" w:hAnsi="Ping LCG Regular" w:cs="Tahoma"/>
                <w:snapToGrid w:val="0"/>
                <w:sz w:val="18"/>
                <w:szCs w:val="18"/>
                <w:lang w:val="en-US"/>
              </w:rPr>
              <w:t>Amendments of the Articles of Incorporation and Codification thereof.</w:t>
            </w:r>
          </w:p>
        </w:tc>
        <w:tc>
          <w:tcPr>
            <w:tcW w:w="907" w:type="dxa"/>
            <w:vAlign w:val="center"/>
          </w:tcPr>
          <w:p w14:paraId="7A1709B0" w14:textId="77777777" w:rsidR="00A01B77" w:rsidRPr="00772025" w:rsidRDefault="00A01B77" w:rsidP="00A122EB">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490112">
              <w:rPr>
                <w:rFonts w:ascii="Ping LCG Regular" w:hAnsi="Ping LCG Regular"/>
                <w:color w:val="006EAB"/>
                <w:sz w:val="18"/>
                <w:szCs w:val="18"/>
                <w:lang w:val="en-US"/>
              </w:rPr>
            </w:r>
            <w:r w:rsidR="00490112">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07" w:type="dxa"/>
            <w:vAlign w:val="center"/>
          </w:tcPr>
          <w:p w14:paraId="60DB958E" w14:textId="77777777" w:rsidR="00A01B77" w:rsidRPr="00772025" w:rsidRDefault="00A01B77" w:rsidP="00A122EB">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490112">
              <w:rPr>
                <w:rFonts w:ascii="Ping LCG Regular" w:hAnsi="Ping LCG Regular"/>
                <w:color w:val="006EAB"/>
                <w:sz w:val="18"/>
                <w:szCs w:val="18"/>
                <w:lang w:val="en-US"/>
              </w:rPr>
            </w:r>
            <w:r w:rsidR="00490112">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07" w:type="dxa"/>
            <w:vAlign w:val="center"/>
          </w:tcPr>
          <w:p w14:paraId="630542B9" w14:textId="77777777" w:rsidR="00A01B77" w:rsidRPr="00772025" w:rsidRDefault="00A01B77" w:rsidP="00A122EB">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490112">
              <w:rPr>
                <w:rFonts w:ascii="Ping LCG Regular" w:hAnsi="Ping LCG Regular"/>
                <w:color w:val="006EAB"/>
                <w:sz w:val="18"/>
                <w:szCs w:val="18"/>
                <w:lang w:val="en-US"/>
              </w:rPr>
            </w:r>
            <w:r w:rsidR="00490112">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r>
      <w:tr w:rsidR="00A01B77" w:rsidRPr="00772025" w14:paraId="70A2B6C7" w14:textId="77777777" w:rsidTr="00A122EB">
        <w:trPr>
          <w:cantSplit/>
          <w:trHeight w:val="340"/>
          <w:jc w:val="center"/>
        </w:trPr>
        <w:tc>
          <w:tcPr>
            <w:tcW w:w="624" w:type="dxa"/>
            <w:vAlign w:val="center"/>
          </w:tcPr>
          <w:p w14:paraId="606CD504" w14:textId="77777777" w:rsidR="00A01B77" w:rsidRPr="00772025" w:rsidRDefault="00A01B77" w:rsidP="00A122EB">
            <w:pPr>
              <w:spacing w:before="40" w:after="40" w:line="240" w:lineRule="auto"/>
              <w:jc w:val="center"/>
              <w:rPr>
                <w:rFonts w:ascii="Ping LCG Regular" w:hAnsi="Ping LCG Regular" w:cs="Arial"/>
                <w:b/>
                <w:color w:val="006EAB"/>
                <w:sz w:val="18"/>
                <w:szCs w:val="18"/>
                <w:lang w:val="en-US"/>
              </w:rPr>
            </w:pPr>
            <w:r w:rsidRPr="00772025">
              <w:rPr>
                <w:rFonts w:ascii="Ping LCG Regular" w:hAnsi="Ping LCG Regular" w:cs="Arial"/>
                <w:b/>
                <w:color w:val="006EAB"/>
                <w:sz w:val="18"/>
                <w:szCs w:val="18"/>
                <w:lang w:val="en-US"/>
              </w:rPr>
              <w:t>2</w:t>
            </w:r>
            <w:r w:rsidRPr="00772025">
              <w:rPr>
                <w:rFonts w:ascii="Ping LCG Regular" w:hAnsi="Ping LCG Regular" w:cs="Arial"/>
                <w:b/>
                <w:color w:val="006EAB"/>
                <w:sz w:val="18"/>
                <w:szCs w:val="18"/>
                <w:vertAlign w:val="superscript"/>
                <w:lang w:val="en-US"/>
              </w:rPr>
              <w:t>nd</w:t>
            </w:r>
          </w:p>
        </w:tc>
        <w:tc>
          <w:tcPr>
            <w:tcW w:w="5726" w:type="dxa"/>
            <w:vAlign w:val="center"/>
          </w:tcPr>
          <w:p w14:paraId="4A34F08A" w14:textId="0F13687D" w:rsidR="00A01B77" w:rsidRPr="00772025" w:rsidRDefault="007D5D54" w:rsidP="00A122EB">
            <w:pPr>
              <w:tabs>
                <w:tab w:val="left" w:pos="4171"/>
              </w:tabs>
              <w:spacing w:before="60" w:after="60" w:line="240" w:lineRule="auto"/>
              <w:rPr>
                <w:rFonts w:ascii="Ping LCG Regular" w:hAnsi="Ping LCG Regular" w:cs="Tahoma"/>
                <w:snapToGrid w:val="0"/>
                <w:sz w:val="18"/>
                <w:szCs w:val="18"/>
                <w:highlight w:val="yellow"/>
                <w:lang w:val="en-US"/>
              </w:rPr>
            </w:pPr>
            <w:r w:rsidRPr="00772025">
              <w:rPr>
                <w:rFonts w:ascii="Ping LCG Regular" w:hAnsi="Ping LCG Regular" w:cs="Tahoma"/>
                <w:snapToGrid w:val="0"/>
                <w:sz w:val="18"/>
                <w:szCs w:val="18"/>
                <w:lang w:val="en-US"/>
              </w:rPr>
              <w:t xml:space="preserve">Approval of the Suitability Policy (fit &amp; proper) for the </w:t>
            </w:r>
            <w:proofErr w:type="spellStart"/>
            <w:r w:rsidRPr="00772025">
              <w:rPr>
                <w:rFonts w:ascii="Ping LCG Regular" w:hAnsi="Ping LCG Regular" w:cs="Tahoma"/>
                <w:snapToGrid w:val="0"/>
                <w:sz w:val="18"/>
                <w:szCs w:val="18"/>
                <w:lang w:val="en-US"/>
              </w:rPr>
              <w:t>BoD</w:t>
            </w:r>
            <w:proofErr w:type="spellEnd"/>
            <w:r w:rsidRPr="00772025">
              <w:rPr>
                <w:rFonts w:ascii="Ping LCG Regular" w:hAnsi="Ping LCG Regular" w:cs="Tahoma"/>
                <w:snapToGrid w:val="0"/>
                <w:sz w:val="18"/>
                <w:szCs w:val="18"/>
                <w:lang w:val="en-US"/>
              </w:rPr>
              <w:t xml:space="preserve"> members of PPC S.A. according to the article 3 of L. 4706/2020.</w:t>
            </w:r>
          </w:p>
        </w:tc>
        <w:tc>
          <w:tcPr>
            <w:tcW w:w="907" w:type="dxa"/>
            <w:vAlign w:val="center"/>
          </w:tcPr>
          <w:p w14:paraId="6BFCC229" w14:textId="77777777" w:rsidR="00A01B77" w:rsidRPr="00772025" w:rsidRDefault="00A01B77" w:rsidP="00A122EB">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490112">
              <w:rPr>
                <w:rFonts w:ascii="Ping LCG Regular" w:hAnsi="Ping LCG Regular"/>
                <w:color w:val="006EAB"/>
                <w:sz w:val="18"/>
                <w:szCs w:val="18"/>
                <w:lang w:val="en-US"/>
              </w:rPr>
            </w:r>
            <w:r w:rsidR="00490112">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07" w:type="dxa"/>
            <w:vAlign w:val="center"/>
          </w:tcPr>
          <w:p w14:paraId="5AB18B8A" w14:textId="77777777" w:rsidR="00A01B77" w:rsidRPr="00772025" w:rsidRDefault="00A01B77" w:rsidP="00A122EB">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490112">
              <w:rPr>
                <w:rFonts w:ascii="Ping LCG Regular" w:hAnsi="Ping LCG Regular"/>
                <w:color w:val="006EAB"/>
                <w:sz w:val="18"/>
                <w:szCs w:val="18"/>
                <w:lang w:val="en-US"/>
              </w:rPr>
            </w:r>
            <w:r w:rsidR="00490112">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07" w:type="dxa"/>
            <w:vAlign w:val="center"/>
          </w:tcPr>
          <w:p w14:paraId="684315A8" w14:textId="77777777" w:rsidR="00A01B77" w:rsidRPr="00772025" w:rsidRDefault="00A01B77" w:rsidP="00A122EB">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490112">
              <w:rPr>
                <w:rFonts w:ascii="Ping LCG Regular" w:hAnsi="Ping LCG Regular"/>
                <w:color w:val="006EAB"/>
                <w:sz w:val="18"/>
                <w:szCs w:val="18"/>
                <w:lang w:val="en-US"/>
              </w:rPr>
            </w:r>
            <w:r w:rsidR="00490112">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r>
      <w:tr w:rsidR="00A01B77" w:rsidRPr="00772025" w14:paraId="72BAB312" w14:textId="77777777" w:rsidTr="00A122EB">
        <w:trPr>
          <w:cantSplit/>
          <w:trHeight w:val="340"/>
          <w:jc w:val="center"/>
        </w:trPr>
        <w:tc>
          <w:tcPr>
            <w:tcW w:w="624" w:type="dxa"/>
            <w:vAlign w:val="center"/>
          </w:tcPr>
          <w:p w14:paraId="2D4AEDF3" w14:textId="77777777" w:rsidR="00A01B77" w:rsidRPr="00772025" w:rsidRDefault="00A01B77" w:rsidP="00A122EB">
            <w:pPr>
              <w:spacing w:before="40" w:after="40" w:line="240" w:lineRule="auto"/>
              <w:jc w:val="center"/>
              <w:rPr>
                <w:rFonts w:ascii="Ping LCG Regular" w:hAnsi="Ping LCG Regular" w:cs="Arial"/>
                <w:b/>
                <w:color w:val="006EAB"/>
                <w:sz w:val="18"/>
                <w:szCs w:val="18"/>
                <w:lang w:val="en-US"/>
              </w:rPr>
            </w:pPr>
            <w:r w:rsidRPr="00772025">
              <w:rPr>
                <w:rFonts w:ascii="Ping LCG Regular" w:hAnsi="Ping LCG Regular" w:cs="Arial"/>
                <w:b/>
                <w:color w:val="006EAB"/>
                <w:sz w:val="18"/>
                <w:szCs w:val="18"/>
                <w:lang w:val="en-US"/>
              </w:rPr>
              <w:t>3</w:t>
            </w:r>
            <w:r w:rsidRPr="00772025">
              <w:rPr>
                <w:rFonts w:ascii="Ping LCG Regular" w:hAnsi="Ping LCG Regular" w:cs="Arial"/>
                <w:b/>
                <w:color w:val="006EAB"/>
                <w:sz w:val="18"/>
                <w:szCs w:val="18"/>
                <w:vertAlign w:val="superscript"/>
                <w:lang w:val="en-US"/>
              </w:rPr>
              <w:t>rd</w:t>
            </w:r>
          </w:p>
        </w:tc>
        <w:tc>
          <w:tcPr>
            <w:tcW w:w="5726" w:type="dxa"/>
          </w:tcPr>
          <w:p w14:paraId="2E974E48" w14:textId="00C991FB" w:rsidR="00A01B77" w:rsidRPr="00772025" w:rsidRDefault="000D76EA" w:rsidP="00A122EB">
            <w:pPr>
              <w:tabs>
                <w:tab w:val="left" w:pos="4171"/>
              </w:tabs>
              <w:spacing w:before="60" w:after="60" w:line="240" w:lineRule="auto"/>
              <w:rPr>
                <w:rFonts w:ascii="Ping LCG Regular" w:hAnsi="Ping LCG Regular" w:cs="Tahoma"/>
                <w:snapToGrid w:val="0"/>
                <w:sz w:val="18"/>
                <w:szCs w:val="18"/>
                <w:highlight w:val="yellow"/>
                <w:lang w:val="en-US"/>
              </w:rPr>
            </w:pPr>
            <w:r w:rsidRPr="00772025">
              <w:rPr>
                <w:rFonts w:ascii="Ping LCG Regular" w:hAnsi="Ping LCG Regular" w:cs="Tahoma"/>
                <w:snapToGrid w:val="0"/>
                <w:sz w:val="18"/>
                <w:szCs w:val="18"/>
                <w:lang w:val="en-US"/>
              </w:rPr>
              <w:t>Approval of the new Remuneration Policy of PPC S.A.</w:t>
            </w:r>
          </w:p>
        </w:tc>
        <w:tc>
          <w:tcPr>
            <w:tcW w:w="907" w:type="dxa"/>
            <w:vAlign w:val="center"/>
          </w:tcPr>
          <w:p w14:paraId="7DA2F32C" w14:textId="77777777" w:rsidR="00A01B77" w:rsidRPr="00772025" w:rsidRDefault="00A01B77" w:rsidP="00A122EB">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490112">
              <w:rPr>
                <w:rFonts w:ascii="Ping LCG Regular" w:hAnsi="Ping LCG Regular"/>
                <w:color w:val="006EAB"/>
                <w:sz w:val="18"/>
                <w:szCs w:val="18"/>
                <w:lang w:val="en-US"/>
              </w:rPr>
            </w:r>
            <w:r w:rsidR="00490112">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07" w:type="dxa"/>
            <w:vAlign w:val="center"/>
          </w:tcPr>
          <w:p w14:paraId="6F57E913" w14:textId="77777777" w:rsidR="00A01B77" w:rsidRPr="00772025" w:rsidRDefault="00A01B77" w:rsidP="00A122EB">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490112">
              <w:rPr>
                <w:rFonts w:ascii="Ping LCG Regular" w:hAnsi="Ping LCG Regular"/>
                <w:color w:val="006EAB"/>
                <w:sz w:val="18"/>
                <w:szCs w:val="18"/>
                <w:lang w:val="en-US"/>
              </w:rPr>
            </w:r>
            <w:r w:rsidR="00490112">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07" w:type="dxa"/>
            <w:vAlign w:val="center"/>
          </w:tcPr>
          <w:p w14:paraId="1A95751E" w14:textId="77777777" w:rsidR="00A01B77" w:rsidRPr="00772025" w:rsidRDefault="00A01B77" w:rsidP="00A122EB">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490112">
              <w:rPr>
                <w:rFonts w:ascii="Ping LCG Regular" w:hAnsi="Ping LCG Regular"/>
                <w:color w:val="006EAB"/>
                <w:sz w:val="18"/>
                <w:szCs w:val="18"/>
                <w:lang w:val="en-US"/>
              </w:rPr>
            </w:r>
            <w:r w:rsidR="00490112">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r>
      <w:tr w:rsidR="00A01B77" w:rsidRPr="00772025" w14:paraId="66E78AF1" w14:textId="77777777" w:rsidTr="00A122EB">
        <w:trPr>
          <w:cantSplit/>
          <w:trHeight w:val="340"/>
          <w:jc w:val="center"/>
        </w:trPr>
        <w:tc>
          <w:tcPr>
            <w:tcW w:w="624" w:type="dxa"/>
            <w:vAlign w:val="center"/>
          </w:tcPr>
          <w:p w14:paraId="7F74BC10" w14:textId="77777777" w:rsidR="00A01B77" w:rsidRPr="00772025" w:rsidRDefault="00A01B77" w:rsidP="00A122EB">
            <w:pPr>
              <w:spacing w:before="60" w:after="60" w:line="240" w:lineRule="auto"/>
              <w:jc w:val="center"/>
              <w:rPr>
                <w:rFonts w:ascii="Ping LCG Regular" w:hAnsi="Ping LCG Regular" w:cs="Arial"/>
                <w:b/>
                <w:color w:val="006EAB"/>
                <w:sz w:val="18"/>
                <w:szCs w:val="18"/>
                <w:lang w:val="en-US"/>
              </w:rPr>
            </w:pPr>
            <w:r w:rsidRPr="00772025">
              <w:rPr>
                <w:rFonts w:ascii="Ping LCG Regular" w:hAnsi="Ping LCG Regular" w:cs="Arial"/>
                <w:b/>
                <w:color w:val="006EAB"/>
                <w:sz w:val="18"/>
                <w:szCs w:val="18"/>
                <w:lang w:val="en-US"/>
              </w:rPr>
              <w:t>4</w:t>
            </w:r>
            <w:r w:rsidRPr="00772025">
              <w:rPr>
                <w:rFonts w:ascii="Ping LCG Regular" w:hAnsi="Ping LCG Regular" w:cs="Arial"/>
                <w:b/>
                <w:color w:val="006EAB"/>
                <w:sz w:val="18"/>
                <w:szCs w:val="18"/>
                <w:vertAlign w:val="superscript"/>
                <w:lang w:val="en-US"/>
              </w:rPr>
              <w:t>th</w:t>
            </w:r>
          </w:p>
        </w:tc>
        <w:tc>
          <w:tcPr>
            <w:tcW w:w="5726" w:type="dxa"/>
          </w:tcPr>
          <w:p w14:paraId="3C5F9BD6" w14:textId="3845CF53" w:rsidR="00A01B77" w:rsidRPr="00772025" w:rsidRDefault="000D76EA" w:rsidP="00A122EB">
            <w:pPr>
              <w:tabs>
                <w:tab w:val="left" w:pos="4171"/>
              </w:tabs>
              <w:spacing w:before="60" w:after="60" w:line="240" w:lineRule="auto"/>
              <w:rPr>
                <w:rFonts w:ascii="Ping LCG Regular" w:hAnsi="Ping LCG Regular" w:cs="Tahoma"/>
                <w:snapToGrid w:val="0"/>
                <w:color w:val="808080" w:themeColor="background1" w:themeShade="80"/>
                <w:sz w:val="18"/>
                <w:szCs w:val="18"/>
                <w:highlight w:val="yellow"/>
                <w:lang w:val="en-US"/>
              </w:rPr>
            </w:pPr>
            <w:r w:rsidRPr="00772025">
              <w:rPr>
                <w:rFonts w:ascii="Ping LCG Regular" w:hAnsi="Ping LCG Regular" w:cs="Tahoma"/>
                <w:snapToGrid w:val="0"/>
                <w:sz w:val="18"/>
                <w:szCs w:val="18"/>
                <w:lang w:val="en-US"/>
              </w:rPr>
              <w:t>Announcements and other items.</w:t>
            </w:r>
          </w:p>
        </w:tc>
        <w:tc>
          <w:tcPr>
            <w:tcW w:w="907" w:type="dxa"/>
            <w:vAlign w:val="center"/>
          </w:tcPr>
          <w:p w14:paraId="3AEA3B7B" w14:textId="258ECF68" w:rsidR="00A01B77" w:rsidRPr="00772025" w:rsidRDefault="00A01B77" w:rsidP="00A122EB">
            <w:pPr>
              <w:spacing w:before="40" w:after="40" w:line="240" w:lineRule="auto"/>
              <w:jc w:val="center"/>
              <w:rPr>
                <w:rFonts w:ascii="Ping LCG Regular" w:hAnsi="Ping LCG Regular"/>
                <w:color w:val="006EAB"/>
                <w:sz w:val="18"/>
                <w:szCs w:val="18"/>
                <w:lang w:val="en-US"/>
              </w:rPr>
            </w:pPr>
          </w:p>
        </w:tc>
        <w:tc>
          <w:tcPr>
            <w:tcW w:w="907" w:type="dxa"/>
            <w:vAlign w:val="center"/>
          </w:tcPr>
          <w:p w14:paraId="46F8B640" w14:textId="3BB18D84" w:rsidR="00A01B77" w:rsidRPr="00772025" w:rsidRDefault="00A01B77" w:rsidP="00A122EB">
            <w:pPr>
              <w:spacing w:before="40" w:after="40" w:line="240" w:lineRule="auto"/>
              <w:jc w:val="center"/>
              <w:rPr>
                <w:rFonts w:ascii="Ping LCG Regular" w:hAnsi="Ping LCG Regular"/>
                <w:color w:val="006EAB"/>
                <w:sz w:val="18"/>
                <w:szCs w:val="18"/>
                <w:lang w:val="en-US"/>
              </w:rPr>
            </w:pPr>
          </w:p>
        </w:tc>
        <w:tc>
          <w:tcPr>
            <w:tcW w:w="907" w:type="dxa"/>
            <w:vAlign w:val="center"/>
          </w:tcPr>
          <w:p w14:paraId="4E74838D" w14:textId="06BDD56E" w:rsidR="00A01B77" w:rsidRPr="00772025" w:rsidRDefault="00A01B77" w:rsidP="00A122EB">
            <w:pPr>
              <w:spacing w:before="40" w:after="40" w:line="240" w:lineRule="auto"/>
              <w:jc w:val="center"/>
              <w:rPr>
                <w:rFonts w:ascii="Ping LCG Regular" w:hAnsi="Ping LCG Regular"/>
                <w:color w:val="006EAB"/>
                <w:sz w:val="18"/>
                <w:szCs w:val="18"/>
                <w:lang w:val="en-US"/>
              </w:rPr>
            </w:pPr>
          </w:p>
        </w:tc>
      </w:tr>
    </w:tbl>
    <w:p w14:paraId="5BCA2DC5" w14:textId="77777777" w:rsidR="00A01B77" w:rsidRPr="00772025" w:rsidRDefault="00A01B77" w:rsidP="00A01B77">
      <w:pPr>
        <w:spacing w:before="120" w:after="0" w:line="240" w:lineRule="auto"/>
        <w:rPr>
          <w:rFonts w:ascii="Ping LCG Regular" w:hAnsi="Ping LCG Regular" w:cs="Tahoma"/>
          <w:sz w:val="18"/>
          <w:szCs w:val="18"/>
          <w:lang w:val="en-US"/>
        </w:rPr>
      </w:pPr>
    </w:p>
    <w:p w14:paraId="764ABFD2" w14:textId="60F020E6"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 xml:space="preserve">will be valid provided that I notify the </w:t>
      </w:r>
      <w:proofErr w:type="gramStart"/>
      <w:r w:rsidR="009237DE" w:rsidRPr="00772025">
        <w:rPr>
          <w:rFonts w:ascii="Ping LCG Regular" w:hAnsi="Ping LCG Regular" w:cs="Tahoma"/>
          <w:sz w:val="18"/>
          <w:szCs w:val="18"/>
          <w:lang w:val="en-US"/>
        </w:rPr>
        <w:t xml:space="preserve">Company </w:t>
      </w:r>
      <w:r w:rsidRPr="00772025">
        <w:rPr>
          <w:rFonts w:ascii="Ping LCG Regular" w:hAnsi="Ping LCG Regular" w:cs="Tahoma"/>
          <w:sz w:val="18"/>
          <w:szCs w:val="18"/>
          <w:lang w:val="en-US"/>
        </w:rPr>
        <w:t xml:space="preserve"> in</w:t>
      </w:r>
      <w:proofErr w:type="gramEnd"/>
      <w:r w:rsidRPr="00772025">
        <w:rPr>
          <w:rFonts w:ascii="Ping LCG Regular" w:hAnsi="Ping LCG Regular" w:cs="Tahoma"/>
          <w:sz w:val="18"/>
          <w:szCs w:val="18"/>
          <w:lang w:val="en-US"/>
        </w:rPr>
        <w:t xml:space="preserve"> writing or by electronic means at least 48 hours before the corresponding date of the General Meeting.</w:t>
      </w:r>
    </w:p>
    <w:p w14:paraId="2CADD2A7"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473D3577" w:rsidR="00A01B77" w:rsidRPr="00772025"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6FA58DF0" w14:textId="77777777" w:rsidR="006A2F59" w:rsidRPr="00772025" w:rsidRDefault="006A2F59"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t>
      </w:r>
      <w:proofErr w:type="gramStart"/>
      <w:r w:rsidRPr="00772025">
        <w:rPr>
          <w:rFonts w:ascii="Ping LCG Regular" w:hAnsi="Ping LCG Regular" w:cs="Tahoma"/>
          <w:sz w:val="18"/>
          <w:szCs w:val="18"/>
          <w:lang w:val="en-US"/>
        </w:rPr>
        <w:t>with regard to</w:t>
      </w:r>
      <w:proofErr w:type="gramEnd"/>
      <w:r w:rsidRPr="00772025">
        <w:rPr>
          <w:rFonts w:ascii="Ping LCG Regular" w:hAnsi="Ping LCG Regular" w:cs="Tahoma"/>
          <w:sz w:val="18"/>
          <w:szCs w:val="18"/>
          <w:lang w:val="en-US"/>
        </w:rPr>
        <w:t xml:space="preserve"> the obligation to notify any facts under article 128 </w:t>
      </w:r>
      <w:proofErr w:type="spellStart"/>
      <w:r w:rsidRPr="00772025">
        <w:rPr>
          <w:rFonts w:ascii="Ping LCG Regular" w:hAnsi="Ping LCG Regular" w:cs="Tahoma"/>
          <w:sz w:val="18"/>
          <w:szCs w:val="18"/>
          <w:lang w:val="en-US"/>
        </w:rPr>
        <w:t>par.5</w:t>
      </w:r>
      <w:proofErr w:type="spellEnd"/>
      <w:r w:rsidRPr="00772025">
        <w:rPr>
          <w:rFonts w:ascii="Ping LCG Regular" w:hAnsi="Ping LCG Regular" w:cs="Tahoma"/>
          <w:sz w:val="18"/>
          <w:szCs w:val="18"/>
          <w:lang w:val="en-US"/>
        </w:rPr>
        <w:t xml:space="preserve"> of Law 4548/2018. </w:t>
      </w:r>
    </w:p>
    <w:p w14:paraId="5664D57C" w14:textId="21E8EC1B" w:rsidR="006A2F59" w:rsidRPr="00772025" w:rsidRDefault="006A2F59"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further state that I approve and confirm all acts of the </w:t>
      </w:r>
      <w:proofErr w:type="gramStart"/>
      <w:r w:rsidRPr="00772025">
        <w:rPr>
          <w:rFonts w:ascii="Ping LCG Regular" w:hAnsi="Ping LCG Regular" w:cs="Tahoma"/>
          <w:sz w:val="18"/>
          <w:szCs w:val="18"/>
          <w:lang w:val="en-US"/>
        </w:rPr>
        <w:t>above mentioned</w:t>
      </w:r>
      <w:proofErr w:type="gramEnd"/>
      <w:r w:rsidRPr="00772025">
        <w:rPr>
          <w:rFonts w:ascii="Ping LCG Regular" w:hAnsi="Ping LCG Regular" w:cs="Tahoma"/>
          <w:sz w:val="18"/>
          <w:szCs w:val="18"/>
          <w:lang w:val="en-US"/>
        </w:rPr>
        <w:t xml:space="preserve"> proxy holder and/or the substitute proxy holder, if any, in connection with this proxy </w:t>
      </w:r>
      <w:r w:rsidR="00F2119B" w:rsidRPr="00772025">
        <w:rPr>
          <w:rFonts w:ascii="Ping LCG Regular" w:hAnsi="Ping LCG Regular" w:cs="Tahoma"/>
          <w:sz w:val="18"/>
          <w:szCs w:val="18"/>
          <w:lang w:val="en-US"/>
        </w:rPr>
        <w:t>holder form</w:t>
      </w:r>
      <w:r w:rsidRPr="00772025">
        <w:rPr>
          <w:rFonts w:ascii="Ping LCG Regular" w:hAnsi="Ping LCG Regular" w:cs="Tahoma"/>
          <w:sz w:val="18"/>
          <w:szCs w:val="18"/>
          <w:lang w:val="en-US"/>
        </w:rPr>
        <w:t>.</w:t>
      </w:r>
    </w:p>
    <w:p w14:paraId="755ED5CD" w14:textId="77777777" w:rsidR="006A2F59" w:rsidRPr="00772025" w:rsidRDefault="006A2F59"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his/her/their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1238EF19" w14:textId="48293C10" w:rsidR="006A2F59" w:rsidRPr="00772025" w:rsidRDefault="006A2F59"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43006707" w14:textId="59AF73DD" w:rsidR="00A01B77" w:rsidRPr="0077202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772025">
        <w:rPr>
          <w:rFonts w:ascii="Ping LCG Regular" w:hAnsi="Ping LCG Regular" w:cs="Arial"/>
          <w:snapToGrid w:val="0"/>
          <w:color w:val="006EAB"/>
          <w:sz w:val="18"/>
          <w:szCs w:val="18"/>
          <w:lang w:val="en-US"/>
        </w:rPr>
        <w:t xml:space="preserve">Please send this document to the </w:t>
      </w:r>
      <w:r w:rsidR="00FE4912" w:rsidRPr="00772025">
        <w:rPr>
          <w:rFonts w:ascii="Ping LCG Regular" w:hAnsi="Ping LCG Regular" w:cs="Arial"/>
          <w:snapToGrid w:val="0"/>
          <w:color w:val="006EAB"/>
          <w:sz w:val="18"/>
          <w:szCs w:val="18"/>
          <w:lang w:val="en-US"/>
        </w:rPr>
        <w:t xml:space="preserve">Corporate Announcements &amp; Shareholders Services Section </w:t>
      </w:r>
      <w:r w:rsidRPr="00772025">
        <w:rPr>
          <w:rFonts w:ascii="Ping LCG Regular" w:hAnsi="Ping LCG Regular" w:cs="Arial"/>
          <w:snapToGrid w:val="0"/>
          <w:color w:val="006EAB"/>
          <w:sz w:val="18"/>
          <w:szCs w:val="18"/>
          <w:lang w:val="en-US"/>
        </w:rPr>
        <w:t xml:space="preserve">of the Company at: </w:t>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or by fax at +30</w:t>
      </w:r>
      <w:r w:rsidRPr="00772025">
        <w:rPr>
          <w:rFonts w:ascii="Ping LCG Regular" w:hAnsi="Ping LCG Regular" w:cs="Arial"/>
          <w:b/>
          <w:snapToGrid w:val="0"/>
          <w:color w:val="006EAB"/>
          <w:sz w:val="18"/>
          <w:szCs w:val="18"/>
          <w:lang w:val="en-US"/>
        </w:rPr>
        <w:t xml:space="preserve"> </w:t>
      </w:r>
      <w:r w:rsidRPr="00772025">
        <w:rPr>
          <w:rFonts w:ascii="Ping LCG Regular" w:hAnsi="Ping LCG Regular" w:cs="Arial"/>
          <w:snapToGrid w:val="0"/>
          <w:color w:val="006EAB"/>
          <w:sz w:val="18"/>
          <w:szCs w:val="18"/>
          <w:lang w:val="en-US"/>
        </w:rPr>
        <w:t>210/</w:t>
      </w:r>
      <w:r w:rsidR="00A61E99" w:rsidRPr="00772025">
        <w:rPr>
          <w:rFonts w:ascii="Ping LCG Regular" w:hAnsi="Ping LCG Regular" w:cs="Arial"/>
          <w:snapToGrid w:val="0"/>
          <w:color w:val="006EAB"/>
          <w:sz w:val="18"/>
          <w:szCs w:val="18"/>
          <w:lang w:val="en-US"/>
        </w:rPr>
        <w:t>5230394</w:t>
      </w:r>
      <w:r w:rsidRPr="00772025">
        <w:rPr>
          <w:rFonts w:ascii="Ping LCG Regular" w:hAnsi="Ping LCG Regular" w:cs="Arial"/>
          <w:snapToGrid w:val="0"/>
          <w:color w:val="006EAB"/>
          <w:sz w:val="18"/>
          <w:szCs w:val="18"/>
          <w:lang w:val="en-US"/>
        </w:rPr>
        <w:t xml:space="preserve"> or by email at </w:t>
      </w:r>
      <w:hyperlink r:id="rId9" w:history="1">
        <w:proofErr w:type="spellStart"/>
        <w:r w:rsidR="00A61E99" w:rsidRPr="00772025">
          <w:rPr>
            <w:rStyle w:val="Hyperlink"/>
            <w:rFonts w:ascii="Ping LCG Regular" w:hAnsi="Ping LCG Regular" w:cs="Arial"/>
            <w:snapToGrid w:val="0"/>
            <w:sz w:val="18"/>
            <w:szCs w:val="18"/>
            <w:lang w:val="en-US"/>
          </w:rPr>
          <w:t>cass@dei.com.gr</w:t>
        </w:r>
        <w:proofErr w:type="spellEnd"/>
      </w:hyperlink>
      <w:r w:rsidR="00A61E99" w:rsidRPr="00772025">
        <w:rPr>
          <w:rFonts w:ascii="Ping LCG Regular" w:hAnsi="Ping LCG Regular" w:cs="Arial"/>
          <w:snapToGrid w:val="0"/>
          <w:sz w:val="18"/>
          <w:szCs w:val="18"/>
          <w:lang w:val="en-US"/>
        </w:rPr>
        <w:t xml:space="preserve"> </w:t>
      </w:r>
      <w:r w:rsidRPr="00772025">
        <w:rPr>
          <w:rFonts w:ascii="Ping LCG Regular" w:hAnsi="Ping LCG Regular" w:cs="Arial"/>
          <w:snapToGrid w:val="0"/>
          <w:color w:val="556062"/>
          <w:sz w:val="18"/>
          <w:szCs w:val="18"/>
          <w:u w:val="single"/>
          <w:lang w:val="en-US"/>
        </w:rPr>
        <w:t xml:space="preserve">, </w:t>
      </w:r>
      <w:r w:rsidRPr="00772025">
        <w:rPr>
          <w:rFonts w:ascii="Ping LCG Regular" w:hAnsi="Ping LCG Regular" w:cs="Arial"/>
          <w:snapToGrid w:val="0"/>
          <w:color w:val="006EAB"/>
          <w:sz w:val="18"/>
          <w:szCs w:val="18"/>
          <w:u w:val="single"/>
          <w:lang w:val="en-US"/>
        </w:rPr>
        <w:t>at least forty-eight hours before the date of the General Meeting</w:t>
      </w:r>
      <w:r w:rsidRPr="00772025">
        <w:rPr>
          <w:rFonts w:ascii="Ping LCG Regular" w:hAnsi="Ping LCG Regular" w:cs="Arial"/>
          <w:snapToGrid w:val="0"/>
          <w:color w:val="006EAB"/>
          <w:sz w:val="18"/>
          <w:szCs w:val="18"/>
          <w:lang w:val="en-US"/>
        </w:rPr>
        <w:t>, and the original to the Company:</w:t>
      </w:r>
      <w:r w:rsidRPr="00772025">
        <w:rPr>
          <w:rFonts w:ascii="Ping LCG Regular" w:hAnsi="Ping LCG Regular" w:cs="Arial"/>
          <w:snapToGrid w:val="0"/>
          <w:color w:val="006EAB"/>
          <w:sz w:val="18"/>
          <w:szCs w:val="18"/>
          <w:lang w:val="en-US"/>
        </w:rPr>
        <w:br/>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xml:space="preserve">, c/o </w:t>
      </w:r>
      <w:r w:rsidR="00A61E99" w:rsidRPr="00772025">
        <w:rPr>
          <w:rFonts w:ascii="Ping LCG Regular" w:hAnsi="Ping LCG Regular" w:cs="Arial"/>
          <w:snapToGrid w:val="0"/>
          <w:color w:val="006EAB"/>
          <w:sz w:val="18"/>
          <w:szCs w:val="18"/>
          <w:lang w:val="en-US"/>
        </w:rPr>
        <w:t xml:space="preserve">Ms. </w:t>
      </w:r>
      <w:proofErr w:type="spellStart"/>
      <w:r w:rsidR="00A61E99" w:rsidRPr="00772025">
        <w:rPr>
          <w:rFonts w:ascii="Ping LCG Regular" w:hAnsi="Ping LCG Regular" w:cs="Arial"/>
          <w:snapToGrid w:val="0"/>
          <w:color w:val="006EAB"/>
          <w:sz w:val="18"/>
          <w:szCs w:val="18"/>
          <w:lang w:val="en-US"/>
        </w:rPr>
        <w:t>Tsiaka</w:t>
      </w:r>
      <w:proofErr w:type="spellEnd"/>
      <w:r w:rsidR="00A61E99" w:rsidRPr="00772025">
        <w:rPr>
          <w:rFonts w:ascii="Ping LCG Regular" w:hAnsi="Ping LCG Regular" w:cs="Arial"/>
          <w:snapToGrid w:val="0"/>
          <w:color w:val="006EAB"/>
          <w:sz w:val="18"/>
          <w:szCs w:val="18"/>
          <w:lang w:val="en-US"/>
        </w:rPr>
        <w:t xml:space="preserve"> Chr.</w:t>
      </w:r>
      <w:r w:rsidRPr="00772025">
        <w:rPr>
          <w:rFonts w:ascii="Ping LCG Regular" w:hAnsi="Ping LCG Regular" w:cs="Arial"/>
          <w:snapToGrid w:val="0"/>
          <w:color w:val="006EAB"/>
          <w:sz w:val="18"/>
          <w:szCs w:val="18"/>
          <w:lang w:val="en-US"/>
        </w:rPr>
        <w:t>, tel. +30 210/</w:t>
      </w:r>
      <w:r w:rsidR="00A61E99" w:rsidRPr="00772025">
        <w:rPr>
          <w:rFonts w:ascii="Ping LCG Regular" w:hAnsi="Ping LCG Regular" w:cs="Arial"/>
          <w:snapToGrid w:val="0"/>
          <w:color w:val="006EAB"/>
          <w:sz w:val="18"/>
          <w:szCs w:val="18"/>
          <w:lang w:val="en-US"/>
        </w:rPr>
        <w:t>5293207</w:t>
      </w:r>
    </w:p>
    <w:sectPr w:rsidR="00A01B77" w:rsidRPr="00772025" w:rsidSect="00136898">
      <w:headerReference w:type="default" r:id="rId10"/>
      <w:footerReference w:type="default" r:id="rId11"/>
      <w:headerReference w:type="first" r:id="rId12"/>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BCF3A" w14:textId="77777777" w:rsidR="00490112" w:rsidRDefault="00490112">
      <w:r>
        <w:separator/>
      </w:r>
    </w:p>
  </w:endnote>
  <w:endnote w:type="continuationSeparator" w:id="0">
    <w:p w14:paraId="0F3FC49E" w14:textId="77777777" w:rsidR="00490112" w:rsidRDefault="0049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0143" w14:textId="77777777" w:rsidR="00A122EB" w:rsidRPr="00AE324F" w:rsidRDefault="00A122EB" w:rsidP="00AE324F">
    <w:pPr>
      <w:pStyle w:val="Footer"/>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0C2220">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C7B02" w14:textId="77777777" w:rsidR="00490112" w:rsidRDefault="00490112">
      <w:r>
        <w:separator/>
      </w:r>
    </w:p>
  </w:footnote>
  <w:footnote w:type="continuationSeparator" w:id="0">
    <w:p w14:paraId="0BF8415C" w14:textId="77777777" w:rsidR="00490112" w:rsidRDefault="00490112">
      <w:r>
        <w:continuationSeparator/>
      </w:r>
    </w:p>
  </w:footnote>
  <w:footnote w:id="1">
    <w:p w14:paraId="41ED9716" w14:textId="77777777" w:rsidR="00A122EB" w:rsidRPr="00BD0674" w:rsidRDefault="00A122EB" w:rsidP="00A01B77">
      <w:pPr>
        <w:pStyle w:val="FootnoteText"/>
        <w:spacing w:after="40" w:line="240" w:lineRule="auto"/>
        <w:ind w:left="142" w:hanging="142"/>
        <w:rPr>
          <w:i/>
          <w:color w:val="006EAB"/>
          <w:sz w:val="16"/>
          <w:szCs w:val="16"/>
        </w:rPr>
      </w:pPr>
      <w:r w:rsidRPr="00BD0674">
        <w:rPr>
          <w:rStyle w:val="FootnoteReference"/>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footnote>
  <w:footnote w:id="2">
    <w:p w14:paraId="52CA0A7F" w14:textId="77777777" w:rsidR="00A122EB" w:rsidRPr="00BD0674" w:rsidRDefault="00A122EB" w:rsidP="00A01B77">
      <w:pPr>
        <w:pStyle w:val="FootnoteText"/>
        <w:spacing w:after="40" w:line="240" w:lineRule="auto"/>
        <w:ind w:left="142" w:hanging="142"/>
        <w:rPr>
          <w:i/>
          <w:color w:val="006EAB"/>
          <w:sz w:val="16"/>
          <w:szCs w:val="16"/>
        </w:rPr>
      </w:pPr>
      <w:r w:rsidRPr="00BD0674">
        <w:rPr>
          <w:rStyle w:val="FootnoteReference"/>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2C018C5F" w14:textId="77777777" w:rsidR="00A122EB" w:rsidRPr="00150660" w:rsidRDefault="00A122EB" w:rsidP="00A01B77">
      <w:pPr>
        <w:pStyle w:val="FootnoteText"/>
        <w:spacing w:after="40" w:line="240" w:lineRule="auto"/>
        <w:ind w:left="142" w:hanging="142"/>
        <w:rPr>
          <w:sz w:val="16"/>
          <w:szCs w:val="16"/>
          <w:lang w:val="en-US"/>
        </w:rPr>
      </w:pPr>
      <w:r w:rsidRPr="00150660">
        <w:rPr>
          <w:rStyle w:val="FootnoteReference"/>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5272D102" w14:textId="77777777" w:rsidR="00A122EB" w:rsidRPr="00BD0674" w:rsidRDefault="00A122EB" w:rsidP="00A01B77">
      <w:pPr>
        <w:pStyle w:val="FootnoteText"/>
        <w:spacing w:after="40" w:line="240" w:lineRule="auto"/>
        <w:ind w:left="142" w:hanging="142"/>
        <w:rPr>
          <w:i/>
          <w:color w:val="000080"/>
          <w:sz w:val="16"/>
          <w:szCs w:val="16"/>
        </w:rPr>
      </w:pPr>
      <w:r w:rsidRPr="00BD0674">
        <w:rPr>
          <w:rStyle w:val="FootnoteReference"/>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w:t>
      </w:r>
      <w:r w:rsidRPr="00BD0674">
        <w:rPr>
          <w:i/>
          <w:color w:val="006EAB"/>
          <w:sz w:val="16"/>
          <w:szCs w:val="16"/>
          <w:lang w:val="en-US"/>
        </w:rPr>
        <w:t>one</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sidRPr="00BD0674">
        <w:rPr>
          <w:i/>
          <w:color w:val="006EAB"/>
          <w:sz w:val="16"/>
          <w:szCs w:val="16"/>
          <w:lang w:val="en-US"/>
        </w:rPr>
        <w:t>two</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tables</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7854" w14:textId="77777777" w:rsidR="00DC51EB" w:rsidRDefault="00DC51EB" w:rsidP="00AE324F">
    <w:pPr>
      <w:pStyle w:val="Header"/>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Header"/>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06B6" w14:textId="77777777" w:rsidR="00D02E28" w:rsidRDefault="00D02E28" w:rsidP="003325B5">
    <w:pPr>
      <w:pStyle w:val="Header"/>
      <w:jc w:val="center"/>
    </w:pPr>
  </w:p>
  <w:p w14:paraId="023A320D" w14:textId="523D0FE1" w:rsidR="00600113" w:rsidRDefault="0099181F" w:rsidP="00600113">
    <w:pPr>
      <w:pStyle w:val="Header"/>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28B93947" w14:textId="4245AF6D" w:rsidR="00D02E28" w:rsidRPr="00600113" w:rsidRDefault="00600113" w:rsidP="00600113">
    <w:pPr>
      <w:pStyle w:val="Header"/>
      <w:jc w:val="center"/>
      <w:rPr>
        <w:rFonts w:ascii="Ping LCG Regular" w:hAnsi="Ping LCG Regular"/>
        <w:color w:val="A6A6A6" w:themeColor="background1" w:themeShade="A6"/>
        <w:sz w:val="18"/>
        <w:szCs w:val="18"/>
        <w:lang w:val="en-US"/>
      </w:rP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p w14:paraId="64D7255E" w14:textId="77777777" w:rsidR="0099181F" w:rsidRDefault="0099181F" w:rsidP="00DC51E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3"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6" w15:restartNumberingAfterBreak="0">
    <w:nsid w:val="18D734A6"/>
    <w:multiLevelType w:val="multilevel"/>
    <w:tmpl w:val="06BA8FDA"/>
    <w:lvl w:ilvl="0">
      <w:start w:val="1"/>
      <w:numFmt w:val="decimal"/>
      <w:pStyle w:val="Heading1"/>
      <w:lvlText w:val="%1."/>
      <w:lvlJc w:val="left"/>
      <w:pPr>
        <w:tabs>
          <w:tab w:val="num" w:pos="-513"/>
        </w:tabs>
        <w:ind w:left="-513" w:hanging="567"/>
      </w:pPr>
      <w:rPr>
        <w:rFonts w:hint="default"/>
      </w:rPr>
    </w:lvl>
    <w:lvl w:ilvl="1">
      <w:start w:val="1"/>
      <w:numFmt w:val="decimal"/>
      <w:pStyle w:val="Heading2"/>
      <w:lvlText w:val="%1.%2."/>
      <w:lvlJc w:val="left"/>
      <w:pPr>
        <w:tabs>
          <w:tab w:val="num" w:pos="567"/>
        </w:tabs>
        <w:ind w:left="0" w:firstLine="360"/>
      </w:pPr>
      <w:rPr>
        <w:rFonts w:hint="default"/>
      </w:rPr>
    </w:lvl>
    <w:lvl w:ilvl="2">
      <w:start w:val="1"/>
      <w:numFmt w:val="decimal"/>
      <w:pStyle w:val="Heading3"/>
      <w:lvlText w:val="%1.%2.%3."/>
      <w:lvlJc w:val="left"/>
      <w:pPr>
        <w:tabs>
          <w:tab w:val="num" w:pos="-229"/>
        </w:tabs>
        <w:ind w:left="-1080" w:firstLine="720"/>
      </w:pPr>
      <w:rPr>
        <w:rFonts w:hint="default"/>
      </w:rPr>
    </w:lvl>
    <w:lvl w:ilvl="3">
      <w:start w:val="1"/>
      <w:numFmt w:val="decimal"/>
      <w:pStyle w:val="Heading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2"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5"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18"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1"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11"/>
  </w:num>
  <w:num w:numId="5">
    <w:abstractNumId w:val="4"/>
  </w:num>
  <w:num w:numId="6">
    <w:abstractNumId w:val="7"/>
  </w:num>
  <w:num w:numId="7">
    <w:abstractNumId w:val="6"/>
  </w:num>
  <w:num w:numId="8">
    <w:abstractNumId w:val="17"/>
  </w:num>
  <w:num w:numId="9">
    <w:abstractNumId w:val="13"/>
  </w:num>
  <w:num w:numId="10">
    <w:abstractNumId w:val="16"/>
  </w:num>
  <w:num w:numId="11">
    <w:abstractNumId w:val="11"/>
    <w:lvlOverride w:ilvl="0">
      <w:startOverride w:val="1"/>
    </w:lvlOverride>
  </w:num>
  <w:num w:numId="12">
    <w:abstractNumId w:val="20"/>
  </w:num>
  <w:num w:numId="13">
    <w:abstractNumId w:val="12"/>
  </w:num>
  <w:num w:numId="14">
    <w:abstractNumId w:val="19"/>
  </w:num>
  <w:num w:numId="15">
    <w:abstractNumId w:val="5"/>
  </w:num>
  <w:num w:numId="16">
    <w:abstractNumId w:val="1"/>
  </w:num>
  <w:num w:numId="17">
    <w:abstractNumId w:val="9"/>
  </w:num>
  <w:num w:numId="18">
    <w:abstractNumId w:val="10"/>
  </w:num>
  <w:num w:numId="19">
    <w:abstractNumId w:val="15"/>
  </w:num>
  <w:num w:numId="20">
    <w:abstractNumId w:val="3"/>
  </w:num>
  <w:num w:numId="21">
    <w:abstractNumId w:val="18"/>
  </w:num>
  <w:num w:numId="22">
    <w:abstractNumId w:val="6"/>
  </w:num>
  <w:num w:numId="23">
    <w:abstractNumId w:val="21"/>
  </w:num>
  <w:num w:numId="24">
    <w:abstractNumId w:val="6"/>
  </w:num>
  <w:num w:numId="25">
    <w:abstractNumId w:val="6"/>
  </w:num>
  <w:num w:numId="26">
    <w:abstractNumId w:val="6"/>
  </w:num>
  <w:num w:numId="27">
    <w:abstractNumId w:val="6"/>
  </w:num>
  <w:num w:numId="28">
    <w:abstractNumId w:val="6"/>
  </w:num>
  <w:num w:numId="29">
    <w:abstractNumId w:val="6"/>
  </w:num>
  <w:num w:numId="30">
    <w:abstractNumId w:val="2"/>
  </w:num>
  <w:num w:numId="3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974"/>
    <w:rsid w:val="00013151"/>
    <w:rsid w:val="00013E95"/>
    <w:rsid w:val="000214D7"/>
    <w:rsid w:val="00022B6F"/>
    <w:rsid w:val="00022C09"/>
    <w:rsid w:val="00024EB1"/>
    <w:rsid w:val="00024F10"/>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4"/>
    <w:rsid w:val="00075462"/>
    <w:rsid w:val="000770C8"/>
    <w:rsid w:val="0007748F"/>
    <w:rsid w:val="000805D4"/>
    <w:rsid w:val="00080796"/>
    <w:rsid w:val="00080987"/>
    <w:rsid w:val="00083BF3"/>
    <w:rsid w:val="00084B64"/>
    <w:rsid w:val="0008591F"/>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5367"/>
    <w:rsid w:val="001A1053"/>
    <w:rsid w:val="001A12E8"/>
    <w:rsid w:val="001A159B"/>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51A9"/>
    <w:rsid w:val="001F5B96"/>
    <w:rsid w:val="001F73F4"/>
    <w:rsid w:val="001F7906"/>
    <w:rsid w:val="001F7B17"/>
    <w:rsid w:val="00202138"/>
    <w:rsid w:val="00204BB6"/>
    <w:rsid w:val="00206D6D"/>
    <w:rsid w:val="0020796E"/>
    <w:rsid w:val="002145EE"/>
    <w:rsid w:val="002150D2"/>
    <w:rsid w:val="002160EA"/>
    <w:rsid w:val="00216AE0"/>
    <w:rsid w:val="00221FEA"/>
    <w:rsid w:val="00222006"/>
    <w:rsid w:val="00223355"/>
    <w:rsid w:val="00225DBE"/>
    <w:rsid w:val="00227595"/>
    <w:rsid w:val="002276DF"/>
    <w:rsid w:val="00231B20"/>
    <w:rsid w:val="00232247"/>
    <w:rsid w:val="002348CA"/>
    <w:rsid w:val="002352D8"/>
    <w:rsid w:val="002358A7"/>
    <w:rsid w:val="00236270"/>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D0366"/>
    <w:rsid w:val="002D308E"/>
    <w:rsid w:val="002D32BF"/>
    <w:rsid w:val="002D4249"/>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72DB9"/>
    <w:rsid w:val="00380477"/>
    <w:rsid w:val="003807B5"/>
    <w:rsid w:val="0038294D"/>
    <w:rsid w:val="003836CB"/>
    <w:rsid w:val="00383D09"/>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674E"/>
    <w:rsid w:val="0048018F"/>
    <w:rsid w:val="004839BC"/>
    <w:rsid w:val="004839C1"/>
    <w:rsid w:val="004850DC"/>
    <w:rsid w:val="00486E18"/>
    <w:rsid w:val="00486E4D"/>
    <w:rsid w:val="004876BE"/>
    <w:rsid w:val="00490112"/>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E0A01"/>
    <w:rsid w:val="004E1165"/>
    <w:rsid w:val="004E5800"/>
    <w:rsid w:val="004E6420"/>
    <w:rsid w:val="004E6653"/>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623"/>
    <w:rsid w:val="00535844"/>
    <w:rsid w:val="00536489"/>
    <w:rsid w:val="00541540"/>
    <w:rsid w:val="005415AC"/>
    <w:rsid w:val="00545C6D"/>
    <w:rsid w:val="005510A9"/>
    <w:rsid w:val="00552B52"/>
    <w:rsid w:val="00552C84"/>
    <w:rsid w:val="0055352C"/>
    <w:rsid w:val="00553935"/>
    <w:rsid w:val="0055504C"/>
    <w:rsid w:val="00555A88"/>
    <w:rsid w:val="005572B7"/>
    <w:rsid w:val="00560DE6"/>
    <w:rsid w:val="0056229C"/>
    <w:rsid w:val="0056463A"/>
    <w:rsid w:val="005669C8"/>
    <w:rsid w:val="00567D05"/>
    <w:rsid w:val="005704CC"/>
    <w:rsid w:val="0057090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2348"/>
    <w:rsid w:val="00674C46"/>
    <w:rsid w:val="00674E2A"/>
    <w:rsid w:val="006750DF"/>
    <w:rsid w:val="006759D6"/>
    <w:rsid w:val="00681D8A"/>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3E49"/>
    <w:rsid w:val="006B41B5"/>
    <w:rsid w:val="006B7120"/>
    <w:rsid w:val="006C0262"/>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60BA"/>
    <w:rsid w:val="00766166"/>
    <w:rsid w:val="00766A0C"/>
    <w:rsid w:val="00766C5D"/>
    <w:rsid w:val="00772025"/>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5D54"/>
    <w:rsid w:val="007D6959"/>
    <w:rsid w:val="007E0E85"/>
    <w:rsid w:val="007E130D"/>
    <w:rsid w:val="007E21FD"/>
    <w:rsid w:val="007E68EE"/>
    <w:rsid w:val="007F017F"/>
    <w:rsid w:val="007F5BD6"/>
    <w:rsid w:val="007F5F5F"/>
    <w:rsid w:val="007F601C"/>
    <w:rsid w:val="007F614F"/>
    <w:rsid w:val="007F7C38"/>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1043"/>
    <w:rsid w:val="00904770"/>
    <w:rsid w:val="00906E4F"/>
    <w:rsid w:val="009101ED"/>
    <w:rsid w:val="00914991"/>
    <w:rsid w:val="009166BF"/>
    <w:rsid w:val="009237DE"/>
    <w:rsid w:val="00924631"/>
    <w:rsid w:val="009275C7"/>
    <w:rsid w:val="0093056F"/>
    <w:rsid w:val="009343EC"/>
    <w:rsid w:val="00935CA9"/>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05FB0"/>
    <w:rsid w:val="00D12122"/>
    <w:rsid w:val="00D14AA3"/>
    <w:rsid w:val="00D164DF"/>
    <w:rsid w:val="00D17FFA"/>
    <w:rsid w:val="00D225B5"/>
    <w:rsid w:val="00D3016B"/>
    <w:rsid w:val="00D30730"/>
    <w:rsid w:val="00D316F8"/>
    <w:rsid w:val="00D36322"/>
    <w:rsid w:val="00D3720B"/>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7E83"/>
    <w:rsid w:val="00DD0154"/>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4067"/>
    <w:rsid w:val="00E04F32"/>
    <w:rsid w:val="00E04FD5"/>
    <w:rsid w:val="00E0502D"/>
    <w:rsid w:val="00E05237"/>
    <w:rsid w:val="00E0576D"/>
    <w:rsid w:val="00E05B16"/>
    <w:rsid w:val="00E07FF3"/>
    <w:rsid w:val="00E10959"/>
    <w:rsid w:val="00E11210"/>
    <w:rsid w:val="00E11665"/>
    <w:rsid w:val="00E11BFA"/>
    <w:rsid w:val="00E213AE"/>
    <w:rsid w:val="00E220E0"/>
    <w:rsid w:val="00E23AA5"/>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7674"/>
    <w:rsid w:val="00E941F3"/>
    <w:rsid w:val="00E9486A"/>
    <w:rsid w:val="00E95E0E"/>
    <w:rsid w:val="00E9676F"/>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119B"/>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912"/>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695"/>
    <w:pPr>
      <w:spacing w:after="120" w:line="288" w:lineRule="auto"/>
      <w:jc w:val="both"/>
    </w:pPr>
    <w:rPr>
      <w:rFonts w:asciiTheme="minorHAnsi" w:hAnsiTheme="minorHAnsi"/>
      <w:lang w:val="en-GB" w:eastAsia="en-US"/>
    </w:rPr>
  </w:style>
  <w:style w:type="paragraph" w:styleId="Heading1">
    <w:name w:val="heading 1"/>
    <w:basedOn w:val="Normal"/>
    <w:next w:val="Normal"/>
    <w:qFormat/>
    <w:rsid w:val="00F24AFB"/>
    <w:pPr>
      <w:keepNext/>
      <w:numPr>
        <w:numId w:val="7"/>
      </w:numPr>
      <w:tabs>
        <w:tab w:val="left" w:pos="720"/>
      </w:tabs>
      <w:jc w:val="center"/>
      <w:outlineLvl w:val="0"/>
    </w:pPr>
    <w:rPr>
      <w:b/>
      <w:snapToGrid w:val="0"/>
      <w:sz w:val="24"/>
      <w:u w:val="single"/>
      <w:lang w:val="el-GR"/>
    </w:rPr>
  </w:style>
  <w:style w:type="paragraph" w:styleId="Heading2">
    <w:name w:val="heading 2"/>
    <w:basedOn w:val="Normal"/>
    <w:next w:val="Normal"/>
    <w:qFormat/>
    <w:pPr>
      <w:keepNext/>
      <w:numPr>
        <w:ilvl w:val="1"/>
        <w:numId w:val="7"/>
      </w:numPr>
      <w:tabs>
        <w:tab w:val="left" w:pos="720"/>
      </w:tabs>
      <w:outlineLvl w:val="1"/>
    </w:pPr>
    <w:rPr>
      <w:b/>
      <w:snapToGrid w:val="0"/>
      <w:sz w:val="24"/>
      <w:u w:val="single"/>
      <w:lang w:val="el-GR"/>
    </w:rPr>
  </w:style>
  <w:style w:type="paragraph" w:styleId="Heading3">
    <w:name w:val="heading 3"/>
    <w:basedOn w:val="Normal"/>
    <w:next w:val="Normal"/>
    <w:qFormat/>
    <w:pPr>
      <w:keepNext/>
      <w:numPr>
        <w:ilvl w:val="2"/>
        <w:numId w:val="7"/>
      </w:numPr>
      <w:tabs>
        <w:tab w:val="left" w:pos="720"/>
      </w:tabs>
      <w:outlineLvl w:val="2"/>
    </w:pPr>
    <w:rPr>
      <w:b/>
      <w:snapToGrid w:val="0"/>
      <w:sz w:val="24"/>
      <w:lang w:val="el-GR"/>
    </w:rPr>
  </w:style>
  <w:style w:type="paragraph" w:styleId="Heading4">
    <w:name w:val="heading 4"/>
    <w:basedOn w:val="Normal"/>
    <w:next w:val="Normal"/>
    <w:qFormat/>
    <w:pPr>
      <w:keepNext/>
      <w:numPr>
        <w:ilvl w:val="3"/>
        <w:numId w:val="7"/>
      </w:numPr>
      <w:jc w:val="center"/>
      <w:outlineLvl w:val="3"/>
    </w:pPr>
    <w:rPr>
      <w:b/>
      <w:u w:val="single"/>
      <w:lang w:val="el-GR"/>
    </w:rPr>
  </w:style>
  <w:style w:type="paragraph" w:styleId="Heading5">
    <w:name w:val="heading 5"/>
    <w:basedOn w:val="Normal"/>
    <w:next w:val="Normal"/>
    <w:qFormat/>
    <w:pPr>
      <w:spacing w:line="360" w:lineRule="auto"/>
      <w:outlineLvl w:val="4"/>
    </w:pPr>
    <w:rPr>
      <w:b/>
      <w:lang w:val="el-GR"/>
    </w:rPr>
  </w:style>
  <w:style w:type="paragraph" w:styleId="Heading6">
    <w:name w:val="heading 6"/>
    <w:basedOn w:val="Normal"/>
    <w:next w:val="Normal"/>
    <w:qFormat/>
    <w:pPr>
      <w:keepNext/>
      <w:tabs>
        <w:tab w:val="left" w:pos="720"/>
      </w:tabs>
      <w:spacing w:line="360" w:lineRule="auto"/>
      <w:jc w:val="center"/>
      <w:outlineLvl w:val="5"/>
    </w:pPr>
    <w:rPr>
      <w:b/>
      <w:bCs/>
      <w:sz w:val="24"/>
    </w:rPr>
  </w:style>
  <w:style w:type="paragraph" w:styleId="Heading7">
    <w:name w:val="heading 7"/>
    <w:basedOn w:val="Normal"/>
    <w:next w:val="Normal"/>
    <w:qFormat/>
    <w:pPr>
      <w:keepNext/>
      <w:tabs>
        <w:tab w:val="left" w:pos="720"/>
      </w:tabs>
      <w:spacing w:line="360" w:lineRule="auto"/>
      <w:ind w:left="360"/>
      <w:jc w:val="center"/>
      <w:outlineLvl w:val="6"/>
    </w:pPr>
    <w:rPr>
      <w:b/>
      <w:snapToGrid w:val="0"/>
      <w:sz w:val="24"/>
      <w:u w:val="single"/>
      <w:lang w:val="el-GR"/>
    </w:rPr>
  </w:style>
  <w:style w:type="paragraph" w:styleId="Heading8">
    <w:name w:val="heading 8"/>
    <w:basedOn w:val="Normal"/>
    <w:next w:val="Normal"/>
    <w:qFormat/>
    <w:pPr>
      <w:keepNext/>
      <w:spacing w:line="360" w:lineRule="auto"/>
      <w:jc w:val="center"/>
      <w:outlineLvl w:val="7"/>
    </w:pPr>
    <w:rPr>
      <w:sz w:val="24"/>
      <w:lang w:val="el-GR"/>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aliases w:val="Τίτλος Μελέτης,b"/>
    <w:basedOn w:val="Normal"/>
    <w:pPr>
      <w:tabs>
        <w:tab w:val="left" w:pos="720"/>
      </w:tabs>
    </w:pPr>
    <w:rPr>
      <w:snapToGrid w:val="0"/>
      <w:sz w:val="24"/>
      <w:lang w:val="el-GR"/>
    </w:rPr>
  </w:style>
  <w:style w:type="paragraph" w:customStyle="1" w:styleId="BTIBullet1">
    <w:name w:val="BTI Bullet 1"/>
    <w:basedOn w:val="BodyTextIndent"/>
    <w:pPr>
      <w:numPr>
        <w:numId w:val="2"/>
      </w:numPr>
      <w:spacing w:before="60"/>
      <w:ind w:left="1332"/>
    </w:pPr>
    <w:rPr>
      <w:noProof/>
    </w:rPr>
  </w:style>
  <w:style w:type="paragraph" w:styleId="BodyTextIndent">
    <w:name w:val="Body Text Indent"/>
    <w:basedOn w:val="Normal"/>
    <w:pPr>
      <w:spacing w:line="360" w:lineRule="auto"/>
      <w:ind w:left="1710"/>
    </w:pPr>
    <w:rPr>
      <w:lang w:val="el-GR"/>
    </w:rPr>
  </w:style>
  <w:style w:type="paragraph" w:styleId="BodyTextIndent2">
    <w:name w:val="Body Text Indent 2"/>
    <w:basedOn w:val="Normal"/>
    <w:pPr>
      <w:suppressAutoHyphens/>
      <w:spacing w:line="360" w:lineRule="auto"/>
      <w:ind w:firstLine="720"/>
    </w:pPr>
    <w:rPr>
      <w:spacing w:val="-3"/>
      <w:sz w:val="24"/>
      <w:lang w:val="el-GR"/>
    </w:rPr>
  </w:style>
  <w:style w:type="paragraph" w:styleId="BodyText2">
    <w:name w:val="Body Text 2"/>
    <w:basedOn w:val="Normal"/>
    <w:pPr>
      <w:spacing w:line="360" w:lineRule="auto"/>
    </w:pPr>
    <w:rPr>
      <w:b/>
      <w:snapToGrid w:val="0"/>
      <w:lang w:val="el-GR"/>
    </w:rPr>
  </w:style>
  <w:style w:type="paragraph" w:styleId="Closing">
    <w:name w:val="Closing"/>
    <w:basedOn w:val="Normal"/>
    <w:pPr>
      <w:spacing w:line="360" w:lineRule="auto"/>
    </w:pPr>
    <w:rPr>
      <w:lang w:val="el-GR"/>
    </w:rPr>
  </w:style>
  <w:style w:type="character" w:styleId="PageNumber">
    <w:name w:val="page number"/>
    <w:basedOn w:val="DefaultParagraphFont"/>
  </w:style>
  <w:style w:type="paragraph" w:styleId="BodyText3">
    <w:name w:val="Body Text 3"/>
    <w:basedOn w:val="Normal"/>
    <w:pPr>
      <w:spacing w:line="360" w:lineRule="auto"/>
    </w:pPr>
    <w:rPr>
      <w:i/>
      <w:iCs/>
      <w:snapToGrid w:val="0"/>
      <w:color w:val="000000"/>
      <w:sz w:val="24"/>
      <w:lang w:val="el-GR"/>
    </w:rPr>
  </w:style>
  <w:style w:type="paragraph" w:styleId="BodyTextIndent3">
    <w:name w:val="Body Text Indent 3"/>
    <w:basedOn w:val="Normal"/>
    <w:pPr>
      <w:tabs>
        <w:tab w:val="left" w:pos="720"/>
      </w:tabs>
      <w:spacing w:line="360" w:lineRule="auto"/>
      <w:ind w:left="60"/>
    </w:pPr>
    <w:rPr>
      <w:b/>
      <w:bCs/>
      <w:snapToGrid w:val="0"/>
      <w:sz w:val="24"/>
      <w:u w:val="single"/>
      <w:lang w:val="el-GR"/>
    </w:rPr>
  </w:style>
  <w:style w:type="paragraph" w:styleId="Title">
    <w:name w:val="Title"/>
    <w:basedOn w:val="Normal"/>
    <w:qFormat/>
    <w:pPr>
      <w:tabs>
        <w:tab w:val="left" w:pos="720"/>
      </w:tabs>
      <w:jc w:val="center"/>
    </w:pPr>
    <w:rPr>
      <w:b/>
      <w:snapToGrid w:val="0"/>
      <w:sz w:val="24"/>
      <w:lang w:val="el-GR"/>
    </w:rPr>
  </w:style>
  <w:style w:type="paragraph" w:styleId="BlockText">
    <w:name w:val="Block Text"/>
    <w:basedOn w:val="Normal"/>
    <w:pPr>
      <w:ind w:left="360" w:right="-540"/>
    </w:pPr>
    <w:rPr>
      <w:rFonts w:ascii="Times New Roman" w:hAnsi="Times New Roman"/>
      <w:szCs w:val="24"/>
      <w:lang w:val="el-GR"/>
    </w:rPr>
  </w:style>
  <w:style w:type="paragraph" w:customStyle="1" w:styleId="a">
    <w:name w:val="Αρθρο"/>
    <w:basedOn w:val="Normal"/>
    <w:pPr>
      <w:jc w:val="center"/>
    </w:pPr>
    <w:rPr>
      <w:rFonts w:ascii="Times New Roman" w:hAnsi="Times New Roman"/>
      <w:b/>
      <w:sz w:val="26"/>
      <w:lang w:val="el-GR"/>
    </w:rPr>
  </w:style>
  <w:style w:type="paragraph" w:styleId="ListBullet">
    <w:name w:val="List Bullet"/>
    <w:basedOn w:val="Normal"/>
    <w:autoRedefine/>
    <w:pPr>
      <w:numPr>
        <w:numId w:val="1"/>
      </w:numPr>
      <w:spacing w:before="120"/>
    </w:pPr>
    <w:rPr>
      <w:snapToGrid w:val="0"/>
      <w:szCs w:val="24"/>
      <w:lang w:val="el-GR"/>
    </w:rPr>
  </w:style>
  <w:style w:type="paragraph" w:customStyle="1" w:styleId="font5">
    <w:name w:val="font5"/>
    <w:basedOn w:val="Normal"/>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Normal"/>
    <w:pPr>
      <w:spacing w:after="240" w:line="312" w:lineRule="auto"/>
      <w:ind w:left="851"/>
    </w:pPr>
    <w:rPr>
      <w:rFonts w:ascii="Times New Roman" w:hAnsi="Times New Roman"/>
      <w:sz w:val="26"/>
      <w:lang w:val="el-GR"/>
    </w:rPr>
  </w:style>
  <w:style w:type="paragraph" w:customStyle="1" w:styleId="Bullets">
    <w:name w:val="Bullets"/>
    <w:basedOn w:val="Normal"/>
    <w:pPr>
      <w:numPr>
        <w:numId w:val="3"/>
      </w:numPr>
    </w:pPr>
    <w:rPr>
      <w:sz w:val="16"/>
      <w:lang w:val="el-GR" w:eastAsia="el-GR"/>
    </w:rPr>
  </w:style>
  <w:style w:type="table" w:styleId="TableGrid">
    <w:name w:val="Table Grid"/>
    <w:basedOn w:val="TableNormal"/>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17627"/>
    <w:rPr>
      <w:rFonts w:ascii="Times New Roman" w:hAnsi="Times New Roman"/>
      <w:lang w:val="el-GR" w:eastAsia="el-GR"/>
    </w:rPr>
  </w:style>
  <w:style w:type="character" w:styleId="EndnoteReference">
    <w:name w:val="endnote reference"/>
    <w:semiHidden/>
    <w:rsid w:val="00617627"/>
    <w:rPr>
      <w:vertAlign w:val="superscript"/>
    </w:rPr>
  </w:style>
  <w:style w:type="paragraph" w:styleId="DocumentMap">
    <w:name w:val="Document Map"/>
    <w:basedOn w:val="Normal"/>
    <w:semiHidden/>
    <w:rsid w:val="00F575E3"/>
    <w:pPr>
      <w:shd w:val="clear" w:color="auto" w:fill="000080"/>
    </w:pPr>
    <w:rPr>
      <w:rFonts w:ascii="Tahoma" w:hAnsi="Tahoma" w:cs="Tahoma"/>
    </w:rPr>
  </w:style>
  <w:style w:type="character" w:styleId="Hyperlink">
    <w:name w:val="Hyperlink"/>
    <w:uiPriority w:val="99"/>
    <w:rsid w:val="004C7145"/>
    <w:rPr>
      <w:color w:val="0000FF"/>
      <w:u w:val="single"/>
    </w:rPr>
  </w:style>
  <w:style w:type="paragraph" w:customStyle="1" w:styleId="Agendaitem">
    <w:name w:val="Agenda_item"/>
    <w:basedOn w:val="Normal"/>
    <w:next w:val="Normal"/>
    <w:rsid w:val="009C4D4F"/>
    <w:pPr>
      <w:keepNext/>
      <w:keepLines/>
      <w:numPr>
        <w:numId w:val="4"/>
      </w:numPr>
      <w:spacing w:before="360" w:after="240"/>
    </w:pPr>
    <w:rPr>
      <w:b/>
      <w:color w:val="000080"/>
      <w:szCs w:val="18"/>
      <w:lang w:val="el-GR"/>
    </w:rPr>
  </w:style>
  <w:style w:type="paragraph" w:styleId="NormalWeb">
    <w:name w:val="Normal (Web)"/>
    <w:basedOn w:val="Normal"/>
    <w:uiPriority w:val="99"/>
    <w:rsid w:val="00153EA5"/>
    <w:pPr>
      <w:spacing w:after="100" w:afterAutospacing="1"/>
    </w:pPr>
    <w:rPr>
      <w:sz w:val="24"/>
      <w:szCs w:val="24"/>
      <w:lang w:val="el-GR" w:eastAsia="el-GR"/>
    </w:rPr>
  </w:style>
  <w:style w:type="character" w:customStyle="1" w:styleId="HTMLPreformattedChar">
    <w:name w:val="HTML Preformatted Char"/>
    <w:link w:val="HTMLPreformatted"/>
    <w:locked/>
    <w:rsid w:val="00153EA5"/>
    <w:rPr>
      <w:rFonts w:ascii="Verdana" w:hAnsi="Verdana" w:cs="Courier New"/>
      <w:color w:val="000000"/>
      <w:sz w:val="17"/>
      <w:szCs w:val="17"/>
      <w:lang w:val="el-GR" w:eastAsia="el-GR" w:bidi="ar-SA"/>
    </w:rPr>
  </w:style>
  <w:style w:type="paragraph" w:styleId="FootnoteText">
    <w:name w:val="footnote text"/>
    <w:basedOn w:val="Normal"/>
    <w:link w:val="FootnoteTextChar"/>
    <w:semiHidden/>
    <w:rsid w:val="00D47260"/>
  </w:style>
  <w:style w:type="character" w:styleId="FootnoteReference">
    <w:name w:val="footnote reference"/>
    <w:semiHidden/>
    <w:rsid w:val="00D47260"/>
    <w:rPr>
      <w:vertAlign w:val="superscript"/>
    </w:rPr>
  </w:style>
  <w:style w:type="paragraph" w:customStyle="1" w:styleId="BodyTextIndentTNR">
    <w:name w:val="Body Text Indent TNR"/>
    <w:basedOn w:val="BodyText"/>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TOC1">
    <w:name w:val="toc 1"/>
    <w:basedOn w:val="Normal"/>
    <w:next w:val="Normal"/>
    <w:autoRedefine/>
    <w:uiPriority w:val="39"/>
    <w:rsid w:val="00EE26CE"/>
  </w:style>
  <w:style w:type="paragraph" w:styleId="TOC2">
    <w:name w:val="toc 2"/>
    <w:basedOn w:val="Normal"/>
    <w:next w:val="Normal"/>
    <w:autoRedefine/>
    <w:semiHidden/>
    <w:rsid w:val="00E3418A"/>
    <w:pPr>
      <w:ind w:left="180"/>
    </w:pPr>
  </w:style>
  <w:style w:type="paragraph" w:customStyle="1" w:styleId="StyleVerdana9ptJustifiedLeft0cmHanging05cmRigh">
    <w:name w:val="Style Verdana 9 pt Justified Left:  0 cm Hanging:  05 cm Righ..."/>
    <w:basedOn w:val="Normal"/>
    <w:rsid w:val="00F03447"/>
    <w:pPr>
      <w:ind w:left="284" w:hanging="284"/>
    </w:pPr>
  </w:style>
  <w:style w:type="character" w:styleId="CommentReference">
    <w:name w:val="annotation reference"/>
    <w:rsid w:val="00512D42"/>
    <w:rPr>
      <w:sz w:val="16"/>
      <w:szCs w:val="16"/>
    </w:rPr>
  </w:style>
  <w:style w:type="paragraph" w:styleId="CommentText">
    <w:name w:val="annotation text"/>
    <w:basedOn w:val="Normal"/>
    <w:link w:val="CommentTextChar"/>
    <w:rsid w:val="00512D42"/>
  </w:style>
  <w:style w:type="paragraph" w:styleId="CommentSubject">
    <w:name w:val="annotation subject"/>
    <w:basedOn w:val="CommentText"/>
    <w:next w:val="CommentText"/>
    <w:semiHidden/>
    <w:rsid w:val="00512D42"/>
    <w:rPr>
      <w:b/>
      <w:bCs/>
    </w:rPr>
  </w:style>
  <w:style w:type="character" w:customStyle="1" w:styleId="FooterChar">
    <w:name w:val="Footer Char"/>
    <w:basedOn w:val="DefaultParagraphFont"/>
    <w:link w:val="Footer"/>
    <w:uiPriority w:val="99"/>
    <w:rsid w:val="0073726D"/>
    <w:rPr>
      <w:rFonts w:ascii="Verdana" w:hAnsi="Verdana"/>
      <w:sz w:val="18"/>
      <w:lang w:val="en-GB" w:eastAsia="en-US"/>
    </w:rPr>
  </w:style>
  <w:style w:type="paragraph" w:styleId="ListParagraph">
    <w:name w:val="List Paragraph"/>
    <w:basedOn w:val="Normal"/>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ommentTextChar">
    <w:name w:val="Comment Text Char"/>
    <w:basedOn w:val="DefaultParagraphFont"/>
    <w:link w:val="CommentText"/>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FootnoteTextChar">
    <w:name w:val="Footnote Text Char"/>
    <w:basedOn w:val="DefaultParagraphFont"/>
    <w:link w:val="FootnoteText"/>
    <w:semiHidden/>
    <w:rsid w:val="00E11BFA"/>
    <w:rPr>
      <w:rFonts w:asciiTheme="minorHAnsi" w:hAnsiTheme="minorHAnsi"/>
      <w:lang w:val="en-GB" w:eastAsia="en-US"/>
    </w:rPr>
  </w:style>
  <w:style w:type="character" w:styleId="UnresolvedMention">
    <w:name w:val="Unresolved Mention"/>
    <w:basedOn w:val="DefaultParagraphFont"/>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com.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1B33C96-A91C-40A4-BD81-B740B15A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681</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ATHEX 19th AGR - Information pack</vt:lpstr>
    </vt:vector>
  </TitlesOfParts>
  <Company>SCCM-1</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Μπούτου Ελευθερία</cp:lastModifiedBy>
  <cp:revision>39</cp:revision>
  <cp:lastPrinted>2020-05-04T15:00:00Z</cp:lastPrinted>
  <dcterms:created xsi:type="dcterms:W3CDTF">2021-05-11T10:17:00Z</dcterms:created>
  <dcterms:modified xsi:type="dcterms:W3CDTF">2021-05-20T10:44:00Z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ies>
</file>